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BC2B84" w14:textId="4301DD91" w:rsidR="008C5B27" w:rsidRDefault="00F00121">
      <w:r w:rsidRPr="00F00121">
        <w:t>Introdução A Estatística</w:t>
      </w:r>
    </w:p>
    <w:p w14:paraId="19C11222" w14:textId="49920C5E" w:rsidR="00F00121" w:rsidRDefault="00F00121" w:rsidP="00F00121">
      <w:r>
        <w:t xml:space="preserve">INTRODUÇÃO À ESTATÍSTICA </w:t>
      </w:r>
    </w:p>
    <w:p w14:paraId="44BDA22A" w14:textId="0C378911" w:rsidR="00F00121" w:rsidRDefault="00F00121" w:rsidP="00F00121">
      <w:r>
        <w:t>A estatística é um ramo da matemática que serve para análise da interpretação e apresentação de massas de dados numéricos. Se você não é muito familiarizado com matemática, isso pode te assustar, mas vai por mim, será muito mais fácil do que você imagina. Para começar, vamos falar sobre os temas mais simples de tudo o que veremos em estatística: a moda e a mediana.</w:t>
      </w:r>
    </w:p>
    <w:p w14:paraId="1E382852" w14:textId="2D05D349" w:rsidR="00F00121" w:rsidRDefault="00F00121" w:rsidP="00F00121">
      <w:r>
        <w:t xml:space="preserve"> Moda</w:t>
      </w:r>
    </w:p>
    <w:p w14:paraId="30BCEEDA" w14:textId="538764EC" w:rsidR="00F00121" w:rsidRDefault="00F00121" w:rsidP="00F00121">
      <w:r>
        <w:t>A moda é uma medida de tendência central com objetivo de apontar a frequência de um dado resultado dentro de uma série histórica. Pensa assim: quando uma coisa está na moda, mais pessoas a usam. Na estatística não é diferente.</w:t>
      </w:r>
    </w:p>
    <w:p w14:paraId="09F5CCE6" w14:textId="76A56EE7" w:rsidR="00F00121" w:rsidRDefault="00F00121" w:rsidP="00F00121">
      <w:r>
        <w:t xml:space="preserve">Moda é o valor que ocorre com maior frequência em uma série de valores. Considerando que uma ação teve as seguintes oscilações nos primeiros 5 dias de um determinado mês: </w:t>
      </w:r>
    </w:p>
    <w:p w14:paraId="7AF7BAE2" w14:textId="439C98D7" w:rsidR="00F00121" w:rsidRDefault="00F00121" w:rsidP="00F00121">
      <w:r>
        <w:rPr>
          <w:rFonts w:ascii="Segoe UI Symbol" w:hAnsi="Segoe UI Symbol" w:cs="Segoe UI Symbol"/>
        </w:rPr>
        <w:t>⯀</w:t>
      </w:r>
      <w:r>
        <w:t xml:space="preserve"> 1 </w:t>
      </w:r>
      <w:r>
        <w:rPr>
          <w:rFonts w:ascii="Cambria Math" w:hAnsi="Cambria Math" w:cs="Cambria Math"/>
        </w:rPr>
        <w:t>⇒</w:t>
      </w:r>
      <w:r>
        <w:t xml:space="preserve"> + 3%; </w:t>
      </w:r>
    </w:p>
    <w:p w14:paraId="25C0FF47" w14:textId="69A052EF" w:rsidR="00F00121" w:rsidRDefault="00F00121" w:rsidP="00F00121">
      <w:r>
        <w:rPr>
          <w:rFonts w:ascii="Segoe UI Symbol" w:hAnsi="Segoe UI Symbol" w:cs="Segoe UI Symbol"/>
        </w:rPr>
        <w:t>⯀</w:t>
      </w:r>
      <w:r>
        <w:t xml:space="preserve"> 2 </w:t>
      </w:r>
      <w:r>
        <w:rPr>
          <w:rFonts w:ascii="Cambria Math" w:hAnsi="Cambria Math" w:cs="Cambria Math"/>
        </w:rPr>
        <w:t>⇒</w:t>
      </w:r>
      <w:r>
        <w:t xml:space="preserve"> + 4%; </w:t>
      </w:r>
    </w:p>
    <w:p w14:paraId="4C01D255" w14:textId="469A8B11" w:rsidR="00F00121" w:rsidRDefault="00F00121" w:rsidP="00F00121">
      <w:r>
        <w:rPr>
          <w:rFonts w:ascii="Segoe UI Symbol" w:hAnsi="Segoe UI Symbol" w:cs="Segoe UI Symbol"/>
        </w:rPr>
        <w:t>⯀</w:t>
      </w:r>
      <w:r>
        <w:t xml:space="preserve"> 3 </w:t>
      </w:r>
      <w:r>
        <w:rPr>
          <w:rFonts w:ascii="Cambria Math" w:hAnsi="Cambria Math" w:cs="Cambria Math"/>
        </w:rPr>
        <w:t>⇒</w:t>
      </w:r>
      <w:r>
        <w:t xml:space="preserve"> </w:t>
      </w:r>
      <w:r>
        <w:rPr>
          <w:rFonts w:ascii="Calibri" w:hAnsi="Calibri" w:cs="Calibri"/>
        </w:rPr>
        <w:t>−</w:t>
      </w:r>
      <w:r>
        <w:t xml:space="preserve"> 2%; </w:t>
      </w:r>
    </w:p>
    <w:p w14:paraId="733B43FF" w14:textId="31D5E8C3" w:rsidR="00F00121" w:rsidRDefault="00F00121" w:rsidP="00F00121">
      <w:r>
        <w:rPr>
          <w:rFonts w:ascii="Segoe UI Symbol" w:hAnsi="Segoe UI Symbol" w:cs="Segoe UI Symbol"/>
        </w:rPr>
        <w:t>⯀</w:t>
      </w:r>
      <w:r>
        <w:t xml:space="preserve"> 4 </w:t>
      </w:r>
      <w:r>
        <w:rPr>
          <w:rFonts w:ascii="Cambria Math" w:hAnsi="Cambria Math" w:cs="Cambria Math"/>
        </w:rPr>
        <w:t>⇒</w:t>
      </w:r>
      <w:r>
        <w:t xml:space="preserve"> </w:t>
      </w:r>
      <w:r>
        <w:rPr>
          <w:rFonts w:ascii="Calibri" w:hAnsi="Calibri" w:cs="Calibri"/>
        </w:rPr>
        <w:t>−</w:t>
      </w:r>
      <w:r>
        <w:t xml:space="preserve"> 2%; </w:t>
      </w:r>
    </w:p>
    <w:p w14:paraId="4B465FD2" w14:textId="764F55A8" w:rsidR="00F00121" w:rsidRDefault="00F00121" w:rsidP="00F00121">
      <w:r>
        <w:rPr>
          <w:rFonts w:ascii="Segoe UI Symbol" w:hAnsi="Segoe UI Symbol" w:cs="Segoe UI Symbol"/>
        </w:rPr>
        <w:t>⯀</w:t>
      </w:r>
      <w:r>
        <w:t xml:space="preserve"> 5 </w:t>
      </w:r>
      <w:r>
        <w:rPr>
          <w:rFonts w:ascii="Cambria Math" w:hAnsi="Cambria Math" w:cs="Cambria Math"/>
        </w:rPr>
        <w:t>⇒</w:t>
      </w:r>
      <w:r>
        <w:t xml:space="preserve"> + 1%;</w:t>
      </w:r>
    </w:p>
    <w:p w14:paraId="7F113544" w14:textId="5C95FF8C" w:rsidR="00F00121" w:rsidRDefault="00F00121" w:rsidP="00F00121">
      <w:r>
        <w:t xml:space="preserve">A Moda é −2%, pois o valor aparece duas vezes (contra uma vez de cada outro valor). Fácil, não? </w:t>
      </w:r>
    </w:p>
    <w:p w14:paraId="688D755F" w14:textId="01797EE5" w:rsidR="00F00121" w:rsidRDefault="00F00121" w:rsidP="00F00121">
      <w:r>
        <w:t>Isso é importante para, por exemplo, analisar uma série histórica de variação no preço de uma ação.</w:t>
      </w:r>
    </w:p>
    <w:p w14:paraId="4EBA9A6C" w14:textId="5C236D68" w:rsidR="00F00121" w:rsidRDefault="00F00121" w:rsidP="00F00121">
      <w:r>
        <w:t xml:space="preserve">Um conjunto de resultados pode apresentar uma ou mais modas, sendo classificado como: </w:t>
      </w:r>
    </w:p>
    <w:p w14:paraId="3E1E39F6" w14:textId="562922FE" w:rsidR="00F00121" w:rsidRDefault="00F00121" w:rsidP="00F00121">
      <w:r>
        <w:rPr>
          <w:rFonts w:ascii="Segoe UI Symbol" w:hAnsi="Segoe UI Symbol" w:cs="Segoe UI Symbol"/>
        </w:rPr>
        <w:t>⯀</w:t>
      </w:r>
      <w:r>
        <w:t xml:space="preserve"> 1 moda = unimodal; </w:t>
      </w:r>
    </w:p>
    <w:p w14:paraId="7BE70A5C" w14:textId="03305FEA" w:rsidR="00F00121" w:rsidRDefault="00F00121" w:rsidP="00F00121">
      <w:r>
        <w:rPr>
          <w:rFonts w:ascii="Segoe UI Symbol" w:hAnsi="Segoe UI Symbol" w:cs="Segoe UI Symbol"/>
        </w:rPr>
        <w:t>⯀</w:t>
      </w:r>
      <w:r>
        <w:t xml:space="preserve"> 2 modas = bimodal; </w:t>
      </w:r>
    </w:p>
    <w:p w14:paraId="3DF790E0" w14:textId="71DC4E39" w:rsidR="00F00121" w:rsidRDefault="00F00121" w:rsidP="00F00121">
      <w:r>
        <w:rPr>
          <w:rFonts w:ascii="Segoe UI Symbol" w:hAnsi="Segoe UI Symbol" w:cs="Segoe UI Symbol"/>
        </w:rPr>
        <w:t>⯀</w:t>
      </w:r>
      <w:r>
        <w:t xml:space="preserve"> 3 ou mais = multimodal.</w:t>
      </w:r>
    </w:p>
    <w:p w14:paraId="3BBA9C32" w14:textId="2BB1E615" w:rsidR="00F00121" w:rsidRDefault="00F00121" w:rsidP="00F00121">
      <w:r>
        <w:t>A série que estudamos acima é uma série unimodal, pois somente o número -2 se repete. Agora se tivermos, por exemplo:</w:t>
      </w:r>
    </w:p>
    <w:p w14:paraId="04E3CF88" w14:textId="62D48A78" w:rsidR="00F00121" w:rsidRDefault="00F00121" w:rsidP="00F00121">
      <w:r>
        <w:rPr>
          <w:rFonts w:ascii="Segoe UI Symbol" w:hAnsi="Segoe UI Symbol" w:cs="Segoe UI Symbol"/>
        </w:rPr>
        <w:t>⯀</w:t>
      </w:r>
      <w:r>
        <w:t xml:space="preserve"> 1 </w:t>
      </w:r>
      <w:r>
        <w:rPr>
          <w:rFonts w:ascii="Cambria Math" w:hAnsi="Cambria Math" w:cs="Cambria Math"/>
        </w:rPr>
        <w:t>⇒</w:t>
      </w:r>
      <w:r>
        <w:t xml:space="preserve"> + 3%; </w:t>
      </w:r>
    </w:p>
    <w:p w14:paraId="5637ADA4" w14:textId="0ED10B71" w:rsidR="00F00121" w:rsidRDefault="00F00121" w:rsidP="00F00121">
      <w:r>
        <w:rPr>
          <w:rFonts w:ascii="Segoe UI Symbol" w:hAnsi="Segoe UI Symbol" w:cs="Segoe UI Symbol"/>
        </w:rPr>
        <w:t>⯀</w:t>
      </w:r>
      <w:r>
        <w:t xml:space="preserve"> 2 </w:t>
      </w:r>
      <w:r>
        <w:rPr>
          <w:rFonts w:ascii="Cambria Math" w:hAnsi="Cambria Math" w:cs="Cambria Math"/>
        </w:rPr>
        <w:t>⇒</w:t>
      </w:r>
      <w:r>
        <w:t xml:space="preserve"> + 4%; </w:t>
      </w:r>
    </w:p>
    <w:p w14:paraId="6703E50A" w14:textId="04B0AC78" w:rsidR="00F00121" w:rsidRDefault="00F00121" w:rsidP="00F00121">
      <w:r>
        <w:rPr>
          <w:rFonts w:ascii="Segoe UI Symbol" w:hAnsi="Segoe UI Symbol" w:cs="Segoe UI Symbol"/>
        </w:rPr>
        <w:t>⯀</w:t>
      </w:r>
      <w:r>
        <w:t xml:space="preserve"> 3 </w:t>
      </w:r>
      <w:r>
        <w:rPr>
          <w:rFonts w:ascii="Cambria Math" w:hAnsi="Cambria Math" w:cs="Cambria Math"/>
        </w:rPr>
        <w:t>⇒</w:t>
      </w:r>
      <w:r>
        <w:t xml:space="preserve"> </w:t>
      </w:r>
      <w:r>
        <w:rPr>
          <w:rFonts w:ascii="Calibri" w:hAnsi="Calibri" w:cs="Calibri"/>
        </w:rPr>
        <w:t>−</w:t>
      </w:r>
      <w:r>
        <w:t xml:space="preserve"> 2%; </w:t>
      </w:r>
    </w:p>
    <w:p w14:paraId="31DE2543" w14:textId="08D536D6" w:rsidR="00F00121" w:rsidRDefault="00F00121" w:rsidP="00F00121">
      <w:r>
        <w:rPr>
          <w:rFonts w:ascii="Segoe UI Symbol" w:hAnsi="Segoe UI Symbol" w:cs="Segoe UI Symbol"/>
        </w:rPr>
        <w:t>⯀</w:t>
      </w:r>
      <w:r>
        <w:t xml:space="preserve"> 4 </w:t>
      </w:r>
      <w:r>
        <w:rPr>
          <w:rFonts w:ascii="Cambria Math" w:hAnsi="Cambria Math" w:cs="Cambria Math"/>
        </w:rPr>
        <w:t>⇒</w:t>
      </w:r>
      <w:r>
        <w:t xml:space="preserve"> </w:t>
      </w:r>
      <w:r>
        <w:rPr>
          <w:rFonts w:ascii="Calibri" w:hAnsi="Calibri" w:cs="Calibri"/>
        </w:rPr>
        <w:t>−</w:t>
      </w:r>
      <w:r>
        <w:t xml:space="preserve"> 2%; </w:t>
      </w:r>
    </w:p>
    <w:p w14:paraId="1AE4A3CD" w14:textId="4FF7451E" w:rsidR="00F00121" w:rsidRDefault="00F00121" w:rsidP="00F00121">
      <w:r>
        <w:rPr>
          <w:rFonts w:ascii="Segoe UI Symbol" w:hAnsi="Segoe UI Symbol" w:cs="Segoe UI Symbol"/>
        </w:rPr>
        <w:t>⯀</w:t>
      </w:r>
      <w:r>
        <w:t xml:space="preserve"> 5 </w:t>
      </w:r>
      <w:r>
        <w:rPr>
          <w:rFonts w:ascii="Cambria Math" w:hAnsi="Cambria Math" w:cs="Cambria Math"/>
        </w:rPr>
        <w:t>⇒</w:t>
      </w:r>
      <w:r>
        <w:t xml:space="preserve"> + 4%; </w:t>
      </w:r>
    </w:p>
    <w:p w14:paraId="746EC208" w14:textId="13E2F787" w:rsidR="00F00121" w:rsidRDefault="00F00121" w:rsidP="00F00121">
      <w:r>
        <w:lastRenderedPageBreak/>
        <w:t>Nesse caso teríamos uma série bimodal, pois os números -2 e o número 4 repetem a mesma quantidade de vezes.</w:t>
      </w:r>
    </w:p>
    <w:p w14:paraId="75CB81A5" w14:textId="260B204D" w:rsidR="00F00121" w:rsidRDefault="00F00121" w:rsidP="00F00121">
      <w:r>
        <w:t>Mediana</w:t>
      </w:r>
    </w:p>
    <w:p w14:paraId="098DED9B" w14:textId="29E08997" w:rsidR="00F00121" w:rsidRDefault="00F00121" w:rsidP="00F00121">
      <w:r>
        <w:t xml:space="preserve">A Mediana é muito simples de entender (e de calcular). Quer ver? Em suma, ela é o valor que divide o conjunto em dois subconjuntos, em que estes subconjuntos formados terão exatamente a mesma quantidade de elementos. </w:t>
      </w:r>
    </w:p>
    <w:p w14:paraId="683E39A5" w14:textId="053EA973" w:rsidR="00F00121" w:rsidRDefault="00F00121" w:rsidP="00F00121">
      <w:r>
        <w:t>Vamos usar um exemplo de amostra ímpar para apresentar o cálculo da mediana. Considerando que uma ação teve as seguintes oscilações nos primeiros 5 dias de um determinado mês:</w:t>
      </w:r>
    </w:p>
    <w:p w14:paraId="602A9D6F" w14:textId="7684F499" w:rsidR="00F00121" w:rsidRDefault="00F00121" w:rsidP="00F00121">
      <w:r>
        <w:rPr>
          <w:rFonts w:ascii="Segoe UI Symbol" w:hAnsi="Segoe UI Symbol" w:cs="Segoe UI Symbol"/>
        </w:rPr>
        <w:t>⯀</w:t>
      </w:r>
      <w:r>
        <w:t xml:space="preserve"> 1 </w:t>
      </w:r>
      <w:r>
        <w:rPr>
          <w:rFonts w:ascii="Cambria Math" w:hAnsi="Cambria Math" w:cs="Cambria Math"/>
        </w:rPr>
        <w:t>⇒</w:t>
      </w:r>
      <w:r>
        <w:t xml:space="preserve"> + 3%; </w:t>
      </w:r>
    </w:p>
    <w:p w14:paraId="6FDD0A6F" w14:textId="74D04F73" w:rsidR="00F00121" w:rsidRDefault="00F00121" w:rsidP="00F00121">
      <w:r>
        <w:rPr>
          <w:rFonts w:ascii="Segoe UI Symbol" w:hAnsi="Segoe UI Symbol" w:cs="Segoe UI Symbol"/>
        </w:rPr>
        <w:t>⯀</w:t>
      </w:r>
      <w:r>
        <w:t xml:space="preserve"> 2 </w:t>
      </w:r>
      <w:r>
        <w:rPr>
          <w:rFonts w:ascii="Cambria Math" w:hAnsi="Cambria Math" w:cs="Cambria Math"/>
        </w:rPr>
        <w:t>⇒</w:t>
      </w:r>
      <w:r>
        <w:t xml:space="preserve"> + 4%; </w:t>
      </w:r>
    </w:p>
    <w:p w14:paraId="56611AE5" w14:textId="30BA4405" w:rsidR="00F00121" w:rsidRDefault="00F00121" w:rsidP="00F00121">
      <w:r>
        <w:rPr>
          <w:rFonts w:ascii="Segoe UI Symbol" w:hAnsi="Segoe UI Symbol" w:cs="Segoe UI Symbol"/>
        </w:rPr>
        <w:t>⯀</w:t>
      </w:r>
      <w:r>
        <w:t xml:space="preserve"> 3 </w:t>
      </w:r>
      <w:r>
        <w:rPr>
          <w:rFonts w:ascii="Cambria Math" w:hAnsi="Cambria Math" w:cs="Cambria Math"/>
        </w:rPr>
        <w:t>⇒</w:t>
      </w:r>
      <w:r>
        <w:t xml:space="preserve"> </w:t>
      </w:r>
      <w:r>
        <w:rPr>
          <w:rFonts w:ascii="Calibri" w:hAnsi="Calibri" w:cs="Calibri"/>
        </w:rPr>
        <w:t>−</w:t>
      </w:r>
      <w:r>
        <w:t xml:space="preserve"> 2%; </w:t>
      </w:r>
    </w:p>
    <w:p w14:paraId="64E5235C" w14:textId="74D8802D" w:rsidR="00F00121" w:rsidRDefault="00F00121" w:rsidP="00F00121">
      <w:r>
        <w:rPr>
          <w:rFonts w:ascii="Segoe UI Symbol" w:hAnsi="Segoe UI Symbol" w:cs="Segoe UI Symbol"/>
        </w:rPr>
        <w:t>⯀</w:t>
      </w:r>
      <w:r>
        <w:t xml:space="preserve"> 4 </w:t>
      </w:r>
      <w:r>
        <w:rPr>
          <w:rFonts w:ascii="Cambria Math" w:hAnsi="Cambria Math" w:cs="Cambria Math"/>
        </w:rPr>
        <w:t>⇒</w:t>
      </w:r>
      <w:r>
        <w:t xml:space="preserve"> </w:t>
      </w:r>
      <w:r>
        <w:rPr>
          <w:rFonts w:ascii="Calibri" w:hAnsi="Calibri" w:cs="Calibri"/>
        </w:rPr>
        <w:t>−</w:t>
      </w:r>
      <w:r>
        <w:t xml:space="preserve"> 3%; </w:t>
      </w:r>
    </w:p>
    <w:p w14:paraId="6A984CC6" w14:textId="375C8EA1" w:rsidR="00F00121" w:rsidRDefault="00F00121" w:rsidP="00F00121">
      <w:r>
        <w:rPr>
          <w:rFonts w:ascii="Segoe UI Symbol" w:hAnsi="Segoe UI Symbol" w:cs="Segoe UI Symbol"/>
        </w:rPr>
        <w:t>⯀</w:t>
      </w:r>
      <w:r>
        <w:t xml:space="preserve"> 5 </w:t>
      </w:r>
      <w:r>
        <w:rPr>
          <w:rFonts w:ascii="Cambria Math" w:hAnsi="Cambria Math" w:cs="Cambria Math"/>
        </w:rPr>
        <w:t>⇒</w:t>
      </w:r>
      <w:r>
        <w:t xml:space="preserve"> + 1%.</w:t>
      </w:r>
    </w:p>
    <w:p w14:paraId="213ADB06" w14:textId="29F1ABE7" w:rsidR="00F00121" w:rsidRDefault="00F00121" w:rsidP="00F00121">
      <w:r>
        <w:t xml:space="preserve">A primeira coisa a fazer é colocar as oscilações em ordem crescente (ou decrescente): </w:t>
      </w:r>
    </w:p>
    <w:p w14:paraId="63F0C3DB" w14:textId="00A7F575" w:rsidR="00F00121" w:rsidRDefault="00F00121" w:rsidP="00F00121">
      <w:r>
        <w:t xml:space="preserve"> - 3%; - 2%; + 1%; 3%; 4%.</w:t>
      </w:r>
    </w:p>
    <w:p w14:paraId="7AAD2B57" w14:textId="71B67B60" w:rsidR="00F00121" w:rsidRDefault="00F00121" w:rsidP="00F00121">
      <w:r>
        <w:t>Assim, a Mediana é o valor central do conjunto. Neste exemplo, o valor + 1%. E se tivermos uma amostra de dados par?</w:t>
      </w:r>
    </w:p>
    <w:p w14:paraId="0E73B88E" w14:textId="46804C6A" w:rsidR="00F00121" w:rsidRDefault="00F00121" w:rsidP="00F00121">
      <w:r>
        <w:t>Considerando que uma ação teve as seguintes oscilações nos primeiros 4 dias de um determinado mês:</w:t>
      </w:r>
    </w:p>
    <w:p w14:paraId="13E3A164" w14:textId="43006037" w:rsidR="00F00121" w:rsidRDefault="00F00121" w:rsidP="00F00121">
      <w:r>
        <w:rPr>
          <w:rFonts w:ascii="Segoe UI Symbol" w:hAnsi="Segoe UI Symbol" w:cs="Segoe UI Symbol"/>
        </w:rPr>
        <w:t>⯀</w:t>
      </w:r>
      <w:r>
        <w:t xml:space="preserve"> 1 </w:t>
      </w:r>
      <w:r>
        <w:rPr>
          <w:rFonts w:ascii="Cambria Math" w:hAnsi="Cambria Math" w:cs="Cambria Math"/>
        </w:rPr>
        <w:t>⇒</w:t>
      </w:r>
      <w:r>
        <w:t xml:space="preserve"> + 3%;</w:t>
      </w:r>
    </w:p>
    <w:p w14:paraId="59BF5889" w14:textId="0077FDE5" w:rsidR="00F00121" w:rsidRDefault="00F00121" w:rsidP="00F00121">
      <w:r>
        <w:rPr>
          <w:rFonts w:ascii="Segoe UI Symbol" w:hAnsi="Segoe UI Symbol" w:cs="Segoe UI Symbol"/>
        </w:rPr>
        <w:t>⯀</w:t>
      </w:r>
      <w:r>
        <w:t xml:space="preserve"> 2 </w:t>
      </w:r>
      <w:r>
        <w:rPr>
          <w:rFonts w:ascii="Cambria Math" w:hAnsi="Cambria Math" w:cs="Cambria Math"/>
        </w:rPr>
        <w:t>⇒</w:t>
      </w:r>
      <w:r>
        <w:t xml:space="preserve"> + 4%; </w:t>
      </w:r>
    </w:p>
    <w:p w14:paraId="4DBEE8C4" w14:textId="1653DA7D" w:rsidR="00F00121" w:rsidRDefault="00F00121" w:rsidP="00F00121">
      <w:r>
        <w:rPr>
          <w:rFonts w:ascii="Segoe UI Symbol" w:hAnsi="Segoe UI Symbol" w:cs="Segoe UI Symbol"/>
        </w:rPr>
        <w:t>⯀</w:t>
      </w:r>
      <w:r>
        <w:t xml:space="preserve"> 3 </w:t>
      </w:r>
      <w:r>
        <w:rPr>
          <w:rFonts w:ascii="Cambria Math" w:hAnsi="Cambria Math" w:cs="Cambria Math"/>
        </w:rPr>
        <w:t>⇒</w:t>
      </w:r>
      <w:r>
        <w:t xml:space="preserve"> + 2%;</w:t>
      </w:r>
    </w:p>
    <w:p w14:paraId="5301696A" w14:textId="65A87B4E" w:rsidR="00F00121" w:rsidRDefault="00F00121" w:rsidP="00F00121">
      <w:r>
        <w:t xml:space="preserve"> </w:t>
      </w:r>
      <w:r>
        <w:rPr>
          <w:rFonts w:ascii="Segoe UI Symbol" w:hAnsi="Segoe UI Symbol" w:cs="Segoe UI Symbol"/>
        </w:rPr>
        <w:t>⯀</w:t>
      </w:r>
      <w:r>
        <w:t xml:space="preserve"> 4 </w:t>
      </w:r>
      <w:r>
        <w:rPr>
          <w:rFonts w:ascii="Cambria Math" w:hAnsi="Cambria Math" w:cs="Cambria Math"/>
        </w:rPr>
        <w:t>⇒</w:t>
      </w:r>
      <w:r>
        <w:t xml:space="preserve"> + 6%.</w:t>
      </w:r>
    </w:p>
    <w:p w14:paraId="49C49A75" w14:textId="0B8F4491" w:rsidR="00F00121" w:rsidRDefault="00F00121" w:rsidP="00F00121">
      <w:r>
        <w:t xml:space="preserve">Colocando as oscilações em ordem crescente (+ 2%; + 3%; + 4%; + 6%), a Mediana será a média entre os valores centrais: </w:t>
      </w:r>
    </w:p>
    <w:p w14:paraId="6CB91CEB" w14:textId="1246315D" w:rsidR="00F00121" w:rsidRDefault="00F00121" w:rsidP="00F00121">
      <w:r>
        <w:t>3+4/2=3,5</w:t>
      </w:r>
    </w:p>
    <w:p w14:paraId="399DDA85" w14:textId="02F15F06" w:rsidR="00F00121" w:rsidRDefault="00F00121" w:rsidP="00F00121">
      <w:r>
        <w:t>Assim, a mediana de uma amostra de dados par é a média aritmética simples dos elementos que estão equidistantes das extremidades da série. E por falar em média, é sobre isso que vamos falar agora.</w:t>
      </w:r>
    </w:p>
    <w:p w14:paraId="00D719BD" w14:textId="3AEDAEAF" w:rsidR="00F00121" w:rsidRDefault="00F00121" w:rsidP="00F00121">
      <w:r>
        <w:rPr>
          <w:noProof/>
        </w:rPr>
        <w:lastRenderedPageBreak/>
        <w:drawing>
          <wp:inline distT="0" distB="0" distL="0" distR="0" wp14:anchorId="5D388346" wp14:editId="73689C33">
            <wp:extent cx="5400040" cy="1990725"/>
            <wp:effectExtent l="0" t="0" r="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400040" cy="1990725"/>
                    </a:xfrm>
                    <a:prstGeom prst="rect">
                      <a:avLst/>
                    </a:prstGeom>
                    <a:noFill/>
                    <a:ln>
                      <a:noFill/>
                    </a:ln>
                  </pic:spPr>
                </pic:pic>
              </a:graphicData>
            </a:graphic>
          </wp:inline>
        </w:drawing>
      </w:r>
    </w:p>
    <w:p w14:paraId="3E00ED56" w14:textId="0A6FE596" w:rsidR="00BF7764" w:rsidRDefault="00BF7764" w:rsidP="00F00121">
      <w:r w:rsidRPr="00BF7764">
        <w:t>Média, Variância e Desvio Padrão</w:t>
      </w:r>
    </w:p>
    <w:p w14:paraId="0428B1FC" w14:textId="7B5D711A" w:rsidR="00BF7764" w:rsidRDefault="00BF7764" w:rsidP="00BF7764">
      <w:r>
        <w:t>MÉDIA</w:t>
      </w:r>
    </w:p>
    <w:p w14:paraId="57E0A986" w14:textId="4AC8D9D9" w:rsidR="00BF7764" w:rsidRDefault="00BF7764" w:rsidP="00BF7764">
      <w:r>
        <w:t>A média é uma medida de tendência central que busca o valor médio de uma série histórica. Para entendermos bem esse conceito, imagine que você tenha comprado uma ação que no primeiro mês tenha valorizado 10% e no segundo mês teve uma perda de 10%. O quanto essa ação valorizou ao final do segundo mês? Faz sentido para você que todos (ou quase todos) os ganhos foram anulados pelas perdas? Na média, então, o retorno foi zero</w:t>
      </w:r>
    </w:p>
    <w:p w14:paraId="4CE5635E" w14:textId="165A26C9" w:rsidR="00BF7764" w:rsidRDefault="00BF7764" w:rsidP="00BF7764">
      <w:r>
        <w:t>Vamos entender a aplicação disso na prática. Imagine que compramos ações da Eletrobrás e nos 5 meses em que mantivemos essa ação o resultado foi conforme os números abaixo.</w:t>
      </w:r>
    </w:p>
    <w:p w14:paraId="0A8A8AE1" w14:textId="1B8EB567" w:rsidR="00BF7764" w:rsidRDefault="00BF7764" w:rsidP="00BF7764">
      <w:r>
        <w:rPr>
          <w:rFonts w:ascii="Segoe UI Symbol" w:hAnsi="Segoe UI Symbol" w:cs="Segoe UI Symbol"/>
        </w:rPr>
        <w:t>⯀</w:t>
      </w:r>
      <w:r>
        <w:t xml:space="preserve"> Mês 1 </w:t>
      </w:r>
      <w:r>
        <w:rPr>
          <w:rFonts w:ascii="Cambria Math" w:hAnsi="Cambria Math" w:cs="Cambria Math"/>
        </w:rPr>
        <w:t>⇒</w:t>
      </w:r>
      <w:r>
        <w:t xml:space="preserve"> + 1% </w:t>
      </w:r>
    </w:p>
    <w:p w14:paraId="63D84483" w14:textId="4CD1F5BA" w:rsidR="00BF7764" w:rsidRDefault="00BF7764" w:rsidP="00BF7764">
      <w:r>
        <w:rPr>
          <w:rFonts w:ascii="Segoe UI Symbol" w:hAnsi="Segoe UI Symbol" w:cs="Segoe UI Symbol"/>
        </w:rPr>
        <w:t>⯀</w:t>
      </w:r>
      <w:r>
        <w:t xml:space="preserve"> Mês 2 </w:t>
      </w:r>
      <w:r>
        <w:rPr>
          <w:rFonts w:ascii="Cambria Math" w:hAnsi="Cambria Math" w:cs="Cambria Math"/>
        </w:rPr>
        <w:t>⇒</w:t>
      </w:r>
      <w:r>
        <w:t xml:space="preserve"> + 6%</w:t>
      </w:r>
    </w:p>
    <w:p w14:paraId="165DBBE8" w14:textId="2DCCBB16" w:rsidR="00BF7764" w:rsidRDefault="00BF7764" w:rsidP="00BF7764">
      <w:r>
        <w:t xml:space="preserve"> </w:t>
      </w:r>
      <w:r>
        <w:rPr>
          <w:rFonts w:ascii="Segoe UI Symbol" w:hAnsi="Segoe UI Symbol" w:cs="Segoe UI Symbol"/>
        </w:rPr>
        <w:t>⯀</w:t>
      </w:r>
      <w:r>
        <w:t xml:space="preserve"> Mês 3 </w:t>
      </w:r>
      <w:r>
        <w:rPr>
          <w:rFonts w:ascii="Cambria Math" w:hAnsi="Cambria Math" w:cs="Cambria Math"/>
        </w:rPr>
        <w:t>⇒</w:t>
      </w:r>
      <w:r>
        <w:t xml:space="preserve"> </w:t>
      </w:r>
      <w:r>
        <w:rPr>
          <w:rFonts w:ascii="Calibri" w:hAnsi="Calibri" w:cs="Calibri"/>
        </w:rPr>
        <w:t>−</w:t>
      </w:r>
      <w:r>
        <w:t xml:space="preserve"> 2% </w:t>
      </w:r>
    </w:p>
    <w:p w14:paraId="5181D213" w14:textId="2231FEA8" w:rsidR="00BF7764" w:rsidRDefault="00BF7764" w:rsidP="00BF7764">
      <w:r>
        <w:rPr>
          <w:rFonts w:ascii="Segoe UI Symbol" w:hAnsi="Segoe UI Symbol" w:cs="Segoe UI Symbol"/>
        </w:rPr>
        <w:t>⯀</w:t>
      </w:r>
      <w:r>
        <w:t xml:space="preserve"> Mês 4 </w:t>
      </w:r>
      <w:r>
        <w:rPr>
          <w:rFonts w:ascii="Cambria Math" w:hAnsi="Cambria Math" w:cs="Cambria Math"/>
        </w:rPr>
        <w:t>⇒</w:t>
      </w:r>
      <w:r>
        <w:t xml:space="preserve"> </w:t>
      </w:r>
      <w:r>
        <w:rPr>
          <w:rFonts w:ascii="Calibri" w:hAnsi="Calibri" w:cs="Calibri"/>
        </w:rPr>
        <w:t>−</w:t>
      </w:r>
      <w:r>
        <w:t xml:space="preserve"> 1%</w:t>
      </w:r>
    </w:p>
    <w:p w14:paraId="4B407FAD" w14:textId="73032754" w:rsidR="00BF7764" w:rsidRDefault="00BF7764" w:rsidP="00BF7764">
      <w:r>
        <w:t xml:space="preserve"> </w:t>
      </w:r>
      <w:r>
        <w:rPr>
          <w:rFonts w:ascii="Segoe UI Symbol" w:hAnsi="Segoe UI Symbol" w:cs="Segoe UI Symbol"/>
        </w:rPr>
        <w:t>⯀</w:t>
      </w:r>
      <w:r>
        <w:t xml:space="preserve"> Mês 5 </w:t>
      </w:r>
      <w:r>
        <w:rPr>
          <w:rFonts w:ascii="Cambria Math" w:hAnsi="Cambria Math" w:cs="Cambria Math"/>
        </w:rPr>
        <w:t>⇒</w:t>
      </w:r>
      <w:r>
        <w:t xml:space="preserve"> + 2%</w:t>
      </w:r>
    </w:p>
    <w:p w14:paraId="2D445F68" w14:textId="759B4387" w:rsidR="00BF7764" w:rsidRDefault="00BF7764" w:rsidP="00BF7764">
      <w:r>
        <w:t>O fato de ter valorizado 6% no segundo mês não quer dizer nada, já que ocorreram perdas em meses futuros, certo? O que importa para a gente (e para o investidor) é o retorno médio.</w:t>
      </w:r>
    </w:p>
    <w:p w14:paraId="0EB3FE41" w14:textId="607A8402" w:rsidR="00BF7764" w:rsidRDefault="00BF7764" w:rsidP="00BF7764">
      <w:r>
        <w:t>Podemos calcular o “retorno médio” deste ativo calculando a média destes valores. Isso é feito somando os valores dos meses e dividindo-os pelo número de fatores. Ou seja:</w:t>
      </w:r>
    </w:p>
    <w:p w14:paraId="361DC74E" w14:textId="57272534" w:rsidR="00BF7764" w:rsidRDefault="00BF7764" w:rsidP="00BF7764">
      <w:r>
        <w:t xml:space="preserve">1 + 6 + (-2) + (-1) + 2 = 6 </w:t>
      </w:r>
    </w:p>
    <w:p w14:paraId="08FCBA13" w14:textId="13CB2BFD" w:rsidR="00BF7764" w:rsidRDefault="00BF7764" w:rsidP="00BF7764">
      <w:r>
        <w:t>Dividimos esse valor por 5, que é o número de meses utilizados na amostra. Chegamos, então, na seguinte fórmula</w:t>
      </w:r>
    </w:p>
    <w:p w14:paraId="2B349F49" w14:textId="74633231" w:rsidR="00BF7764" w:rsidRDefault="00BF7764" w:rsidP="00BF7764">
      <w:r>
        <w:t>média 6/5</w:t>
      </w:r>
      <w:r>
        <w:rPr>
          <w:rFonts w:ascii="Cambria Math" w:hAnsi="Cambria Math" w:cs="Cambria Math"/>
        </w:rPr>
        <w:t>⇒</w:t>
      </w:r>
      <w:r>
        <w:t xml:space="preserve"> m</w:t>
      </w:r>
      <w:r>
        <w:rPr>
          <w:rFonts w:ascii="Calibri" w:hAnsi="Calibri" w:cs="Calibri"/>
        </w:rPr>
        <w:t>é</w:t>
      </w:r>
      <w:r>
        <w:t>dia 1,20</w:t>
      </w:r>
    </w:p>
    <w:p w14:paraId="61C51036" w14:textId="1C89853A" w:rsidR="00BF7764" w:rsidRDefault="00BF7764" w:rsidP="00BF7764">
      <w:r>
        <w:t>Assim, concluímos que a ação da Eletrobrás possui média igual a 1,20%. Em outras palavras, o investimento pagou 1,20% ao mês, em média. Simples assim.</w:t>
      </w:r>
    </w:p>
    <w:p w14:paraId="600BDED4" w14:textId="77777777" w:rsidR="00BF7764" w:rsidRDefault="00BF7764" w:rsidP="00BF7764">
      <w:r>
        <w:t xml:space="preserve">Um ponto importante sobre esse assunto é que, para sua prova da CPA-20, não é necessário fazer contas. A ANBIMA vai cobrar somente o conceito, ok? </w:t>
      </w:r>
    </w:p>
    <w:p w14:paraId="61D53A5E" w14:textId="62C8CC9F" w:rsidR="00BF7764" w:rsidRDefault="00BF7764" w:rsidP="00BF7764">
      <w:r>
        <w:lastRenderedPageBreak/>
        <w:t xml:space="preserve">Agora, se observarmos com carinho, vamos perceber que a série histórica que usamos como exemplo teve variações de um mês para o outro. Faz sentido? Essa variação é chamada de variância e é sobre isso que vamos falar agora. </w:t>
      </w:r>
    </w:p>
    <w:p w14:paraId="796C6DA5" w14:textId="4C5EE5B3" w:rsidR="00BF7764" w:rsidRDefault="00BF7764" w:rsidP="00BF7764">
      <w:r>
        <w:t>Variância</w:t>
      </w:r>
    </w:p>
    <w:p w14:paraId="431AF0EF" w14:textId="6F9EDA1E" w:rsidR="00BF7764" w:rsidRDefault="00BF7764" w:rsidP="00BF7764">
      <w:r>
        <w:t>Uma vez que entendemos a média é possível encontrar a variância e medir o grau de dispersão de um conjunto de dados pelos desvios em relação a média desse conjunto</w:t>
      </w:r>
    </w:p>
    <w:p w14:paraId="5A57C70E" w14:textId="3C22A5CA" w:rsidR="00BF7764" w:rsidRDefault="00BF7764" w:rsidP="00BF7764">
      <w:r>
        <w:t>Em outras palavras, a Variância indica “o quão longe”, em geral, os seus valores se encontram do valor esperado. Traduzindo para um português mais claro: é o quanto o ativo varia em função de sua média</w:t>
      </w:r>
    </w:p>
    <w:p w14:paraId="5FB663DE" w14:textId="183EF7A6" w:rsidR="00BF7764" w:rsidRDefault="00BF7764" w:rsidP="00BF7764">
      <w:r>
        <w:t xml:space="preserve">Assim, considerando que a ação da Eletrobrás teve as oscilações nos 5 meses: </w:t>
      </w:r>
    </w:p>
    <w:p w14:paraId="01598326" w14:textId="42AF56CC" w:rsidR="00BF7764" w:rsidRDefault="00BF7764" w:rsidP="00BF7764">
      <w:r>
        <w:rPr>
          <w:rFonts w:ascii="Segoe UI Symbol" w:hAnsi="Segoe UI Symbol" w:cs="Segoe UI Symbol"/>
        </w:rPr>
        <w:t>⯀</w:t>
      </w:r>
      <w:r>
        <w:t xml:space="preserve"> Mês 1 </w:t>
      </w:r>
      <w:r>
        <w:rPr>
          <w:rFonts w:ascii="Cambria Math" w:hAnsi="Cambria Math" w:cs="Cambria Math"/>
        </w:rPr>
        <w:t>⇒</w:t>
      </w:r>
      <w:r>
        <w:t xml:space="preserve"> + 1% </w:t>
      </w:r>
    </w:p>
    <w:p w14:paraId="0FA6121B" w14:textId="5BA1B27D" w:rsidR="00BF7764" w:rsidRDefault="00BF7764" w:rsidP="00BF7764">
      <w:r>
        <w:rPr>
          <w:rFonts w:ascii="Segoe UI Symbol" w:hAnsi="Segoe UI Symbol" w:cs="Segoe UI Symbol"/>
        </w:rPr>
        <w:t>⯀</w:t>
      </w:r>
      <w:r>
        <w:t xml:space="preserve"> Mês 2 </w:t>
      </w:r>
      <w:r>
        <w:rPr>
          <w:rFonts w:ascii="Cambria Math" w:hAnsi="Cambria Math" w:cs="Cambria Math"/>
        </w:rPr>
        <w:t>⇒</w:t>
      </w:r>
      <w:r>
        <w:t xml:space="preserve"> + 6% </w:t>
      </w:r>
    </w:p>
    <w:p w14:paraId="4096D749" w14:textId="65495234" w:rsidR="00BF7764" w:rsidRDefault="00BF7764" w:rsidP="00BF7764">
      <w:r>
        <w:rPr>
          <w:rFonts w:ascii="Segoe UI Symbol" w:hAnsi="Segoe UI Symbol" w:cs="Segoe UI Symbol"/>
        </w:rPr>
        <w:t>⯀</w:t>
      </w:r>
      <w:r>
        <w:t xml:space="preserve"> Mês 3 </w:t>
      </w:r>
      <w:r>
        <w:rPr>
          <w:rFonts w:ascii="Cambria Math" w:hAnsi="Cambria Math" w:cs="Cambria Math"/>
        </w:rPr>
        <w:t>⇒</w:t>
      </w:r>
      <w:r>
        <w:t xml:space="preserve"> </w:t>
      </w:r>
      <w:r>
        <w:rPr>
          <w:rFonts w:ascii="Calibri" w:hAnsi="Calibri" w:cs="Calibri"/>
        </w:rPr>
        <w:t>−</w:t>
      </w:r>
      <w:r>
        <w:t xml:space="preserve"> 2% </w:t>
      </w:r>
    </w:p>
    <w:p w14:paraId="759D1AD5" w14:textId="48E38B34" w:rsidR="00BF7764" w:rsidRDefault="00BF7764" w:rsidP="00BF7764">
      <w:r>
        <w:rPr>
          <w:rFonts w:ascii="Segoe UI Symbol" w:hAnsi="Segoe UI Symbol" w:cs="Segoe UI Symbol"/>
        </w:rPr>
        <w:t>⯀</w:t>
      </w:r>
      <w:r>
        <w:t xml:space="preserve"> Mês 4 </w:t>
      </w:r>
      <w:r>
        <w:rPr>
          <w:rFonts w:ascii="Cambria Math" w:hAnsi="Cambria Math" w:cs="Cambria Math"/>
        </w:rPr>
        <w:t>⇒</w:t>
      </w:r>
      <w:r>
        <w:t xml:space="preserve"> </w:t>
      </w:r>
      <w:r>
        <w:rPr>
          <w:rFonts w:ascii="Calibri" w:hAnsi="Calibri" w:cs="Calibri"/>
        </w:rPr>
        <w:t>−</w:t>
      </w:r>
      <w:r>
        <w:t xml:space="preserve"> 1% </w:t>
      </w:r>
    </w:p>
    <w:p w14:paraId="613ADF5B" w14:textId="5C601C76" w:rsidR="00BF7764" w:rsidRDefault="00BF7764" w:rsidP="00BF7764">
      <w:r>
        <w:rPr>
          <w:rFonts w:ascii="Segoe UI Symbol" w:hAnsi="Segoe UI Symbol" w:cs="Segoe UI Symbol"/>
        </w:rPr>
        <w:t>⯀</w:t>
      </w:r>
      <w:r>
        <w:t xml:space="preserve"> Mês 5 </w:t>
      </w:r>
      <w:r>
        <w:rPr>
          <w:rFonts w:ascii="Cambria Math" w:hAnsi="Cambria Math" w:cs="Cambria Math"/>
        </w:rPr>
        <w:t>⇒</w:t>
      </w:r>
      <w:r>
        <w:t xml:space="preserve"> + 2%</w:t>
      </w:r>
    </w:p>
    <w:p w14:paraId="12AD79BC" w14:textId="6E30BB26" w:rsidR="00BF7764" w:rsidRDefault="00BF7764" w:rsidP="00BF7764">
      <w:r>
        <w:t>A gente já sabe calcular a média desse investimento, pois fizemos no tópico anterior, determinando que ela é 1,2, certo? Pergunto a você, meu nobre gafanhoto, o quanto o resultado dos meses variava se comparamos com a média?</w:t>
      </w:r>
    </w:p>
    <w:p w14:paraId="01C75096" w14:textId="5E888A4D" w:rsidR="00BF7764" w:rsidRDefault="00BF7764" w:rsidP="00BF7764">
      <w:r>
        <w:t>A resposta é 9,7. Fiz mágica para chegar nesse valor? Não. Usei matemática, mesmo. Assim, ó:</w:t>
      </w:r>
    </w:p>
    <w:p w14:paraId="372EA296" w14:textId="19FDC79A" w:rsidR="00BF7764" w:rsidRDefault="00BF7764" w:rsidP="00BF7764">
      <w:r>
        <w:rPr>
          <w:noProof/>
        </w:rPr>
        <w:drawing>
          <wp:inline distT="0" distB="0" distL="0" distR="0" wp14:anchorId="532CFCE4" wp14:editId="24BE59C8">
            <wp:extent cx="4705350" cy="214312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705350" cy="2143125"/>
                    </a:xfrm>
                    <a:prstGeom prst="rect">
                      <a:avLst/>
                    </a:prstGeom>
                    <a:noFill/>
                    <a:ln>
                      <a:noFill/>
                    </a:ln>
                  </pic:spPr>
                </pic:pic>
              </a:graphicData>
            </a:graphic>
          </wp:inline>
        </w:drawing>
      </w:r>
    </w:p>
    <w:p w14:paraId="2AD5B5B2" w14:textId="6A23AAE2" w:rsidR="00BF7764" w:rsidRDefault="00BF7764" w:rsidP="00BF7764">
      <w:r>
        <w:t xml:space="preserve">Para que serve a variância? Para nada! Na verdade, a variância não tem nenhuma aplicação prática no mercado, mas é fundamental conhecermos a variância para encontrarmos o que de fato nos interessa: o desvio padrão. </w:t>
      </w:r>
    </w:p>
    <w:p w14:paraId="4739AF27" w14:textId="755FA000" w:rsidR="00BF7764" w:rsidRDefault="00BF7764" w:rsidP="00BF7764">
      <w:r>
        <w:t xml:space="preserve">Desvio Padrão </w:t>
      </w:r>
    </w:p>
    <w:p w14:paraId="4862AAB0" w14:textId="6F0D3E80" w:rsidR="00BF7764" w:rsidRDefault="00BF7764" w:rsidP="00BF7764">
      <w:r>
        <w:t>O Desvio Padrão é a medida de risco para calcularmos a volatilidade de um ativo. Em outras palavras, com o desvio padrão podemos mostrar, matematicamente, o risco de determinado investimento.</w:t>
      </w:r>
    </w:p>
    <w:p w14:paraId="4BDD09DB" w14:textId="4D166428" w:rsidR="00BF7764" w:rsidRDefault="00BF7764" w:rsidP="00BF7764">
      <w:r>
        <w:lastRenderedPageBreak/>
        <w:t>Para encontrarmos o desvio padrão, basta extrairmos a raiz quadrada da variância. No exemplo do tópico anterior, temos variância igual a 9,7. Logo, temos desvio padrão igual a √9,7 = 3,11</w:t>
      </w:r>
    </w:p>
    <w:p w14:paraId="39492A99" w14:textId="2A3BA42F" w:rsidR="00BF7764" w:rsidRDefault="00BF7764" w:rsidP="00BF7764">
      <w:r>
        <w:t>Ou seja, na amostra de dados que estamos estudando desde a média, temos um risco de mercado de 3,11%. O ponto mais importante aqui para a sua prova da CPA-20 é: quanto maior for o desvio padrão de um ativo, maior será o risco de mercado desse ativo.</w:t>
      </w:r>
    </w:p>
    <w:p w14:paraId="37DF0E00" w14:textId="708A2286" w:rsidR="00BF7764" w:rsidRDefault="00BF7764" w:rsidP="00BF7764">
      <w:r>
        <w:t>Agora que você entendeu como calcular o risco de um determinado ativo, que tal aprendermos a probabilidade de um investimento dar um determinado retorno? Para isso vamos estudar a curva de Gauss.</w:t>
      </w:r>
    </w:p>
    <w:p w14:paraId="7E5B58B3" w14:textId="1750DE79" w:rsidR="00BF7764" w:rsidRDefault="00956643" w:rsidP="00BF7764">
      <w:r>
        <w:rPr>
          <w:noProof/>
        </w:rPr>
        <w:drawing>
          <wp:inline distT="0" distB="0" distL="0" distR="0" wp14:anchorId="232C5F35" wp14:editId="4C1469B7">
            <wp:extent cx="5391150" cy="1952625"/>
            <wp:effectExtent l="0" t="0" r="0"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91150" cy="1952625"/>
                    </a:xfrm>
                    <a:prstGeom prst="rect">
                      <a:avLst/>
                    </a:prstGeom>
                    <a:noFill/>
                    <a:ln>
                      <a:noFill/>
                    </a:ln>
                  </pic:spPr>
                </pic:pic>
              </a:graphicData>
            </a:graphic>
          </wp:inline>
        </w:drawing>
      </w:r>
    </w:p>
    <w:p w14:paraId="147387A6" w14:textId="2F27ADEB" w:rsidR="00956643" w:rsidRDefault="00956643" w:rsidP="00BF7764"/>
    <w:p w14:paraId="2047D635" w14:textId="3E6D6D8F" w:rsidR="00956643" w:rsidRDefault="00956643" w:rsidP="00BF7764">
      <w:r w:rsidRPr="00956643">
        <w:t>Covariância, Correlação e Coeficiente de Determnação</w:t>
      </w:r>
    </w:p>
    <w:p w14:paraId="16900A40" w14:textId="4E0D445D" w:rsidR="00956643" w:rsidRDefault="00956643" w:rsidP="00956643">
      <w:r>
        <w:t>Covariância</w:t>
      </w:r>
    </w:p>
    <w:p w14:paraId="4849AFA0" w14:textId="6E048F88" w:rsidR="00956643" w:rsidRDefault="00956643" w:rsidP="00956643">
      <w:r>
        <w:t>A covariância é uma medida que avalia como as variáveis X e Y se inter-relacionam de forma linear. Ou seja, como Y varia em relação a uma determinada variação de X.</w:t>
      </w:r>
    </w:p>
    <w:p w14:paraId="2A2DE9AB" w14:textId="214A88F9" w:rsidR="00956643" w:rsidRDefault="00956643" w:rsidP="00956643">
      <w:r>
        <w:t>Na prática deveremos enxergá-la assim: se a taxa de juros sobe, o preço das ações da Vale cai; se o preço do Dólar sobe, o preço das ações da Petrobras também sobe.</w:t>
      </w:r>
    </w:p>
    <w:p w14:paraId="05F68EC7" w14:textId="43758928" w:rsidR="00956643" w:rsidRDefault="00956643" w:rsidP="00956643">
      <w:r>
        <w:t>Quando a covariância é positiva, duas variáveis tendem a variar na mesma direção; isto é, se uma sobe, a outra tende a subir e vice-versa. Quando a covariância é negativa, duas variáveis tendem a variar em direções opostas; isto é, se uma sobe a outra tende a cair e vice-versa.</w:t>
      </w:r>
    </w:p>
    <w:p w14:paraId="72DFAE0D" w14:textId="0F1B8F10" w:rsidR="00956643" w:rsidRDefault="00956643" w:rsidP="00956643">
      <w:r>
        <w:t>Quanto mais próxima de zero for a covariância, menor a possibilidade de se identificar um comportamento interdependente entre as variáveis.</w:t>
      </w:r>
    </w:p>
    <w:p w14:paraId="0A25251B" w14:textId="2F4C0FE3" w:rsidR="00956643" w:rsidRDefault="00956643" w:rsidP="00956643">
      <w:r>
        <w:t>A covariância entre duas variáveis pode ser obtida de dados de variância. Para isso, precisamos ter a variância dos dois ativos analisados e incorporá-los à seguinte fórmula matemática:</w:t>
      </w:r>
    </w:p>
    <w:p w14:paraId="140A3E5A" w14:textId="4E5E6D3A" w:rsidR="00956643" w:rsidRDefault="00956643" w:rsidP="00956643">
      <w:r>
        <w:rPr>
          <w:noProof/>
        </w:rPr>
        <w:lastRenderedPageBreak/>
        <w:drawing>
          <wp:inline distT="0" distB="0" distL="0" distR="0" wp14:anchorId="4DB40E9B" wp14:editId="1F20F0CF">
            <wp:extent cx="5400040" cy="1533525"/>
            <wp:effectExtent l="0" t="0" r="0" b="9525"/>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1533525"/>
                    </a:xfrm>
                    <a:prstGeom prst="rect">
                      <a:avLst/>
                    </a:prstGeom>
                    <a:noFill/>
                    <a:ln>
                      <a:noFill/>
                    </a:ln>
                  </pic:spPr>
                </pic:pic>
              </a:graphicData>
            </a:graphic>
          </wp:inline>
        </w:drawing>
      </w:r>
    </w:p>
    <w:p w14:paraId="4889DE48" w14:textId="7BA77D7A" w:rsidR="00956643" w:rsidRDefault="00956643" w:rsidP="00956643">
      <w:r>
        <w:t>E você achou que nunca fosse usar tudo aquilo que aprendeu no ensino médio com aquele professor de matemática, hein? Agora aprenderemos sobre Correlação. Isso fará você entender, na prática, como usamos esses dados.</w:t>
      </w:r>
    </w:p>
    <w:p w14:paraId="556B1E6F" w14:textId="6385ADD9" w:rsidR="00956643" w:rsidRDefault="00956643" w:rsidP="00956643">
      <w:r>
        <w:t xml:space="preserve">Pergunto a você: para que serve a covariância? Para nada! Em termos práticos, a covariância não tem muita utilidade, mas precisamos dela para encontrar a correlação. </w:t>
      </w:r>
    </w:p>
    <w:p w14:paraId="611ACCC5" w14:textId="1A6B59D7" w:rsidR="00956643" w:rsidRDefault="00956643" w:rsidP="00956643">
      <w:r>
        <w:t>Correlação</w:t>
      </w:r>
    </w:p>
    <w:p w14:paraId="7E131885" w14:textId="23625830" w:rsidR="00956643" w:rsidRDefault="00956643" w:rsidP="00956643">
      <w:r>
        <w:t>Como eu falei acima, não utilizamos muito a covariância em investimentos, mas a utilizamos para medir a correlação de dois ou mais ativos. Basicamente, com a correlação queremos mostrar o quanto 2 ativos podem estar correlacionados.</w:t>
      </w:r>
    </w:p>
    <w:p w14:paraId="5571E176" w14:textId="0EDDDD11" w:rsidR="00956643" w:rsidRDefault="00956643" w:rsidP="00956643">
      <w:r>
        <w:t>Deixe-me dar um exemplo: no ano de 2018 os caminhoneiros no Brasil fizeram uma greve para protestar contra a política de preços da Petrobras, lembra disso? O alvo do protesto era a Petrobras, mas o resultado foi: crise de abastecimento de alimentos no Brasil inteiro, prejuízos milionários para os produtores (pequenos e grandes) rurais espalhados pelo País.</w:t>
      </w:r>
    </w:p>
    <w:p w14:paraId="0796CFAD" w14:textId="70768E6B" w:rsidR="00956643" w:rsidRDefault="00956643" w:rsidP="00956643">
      <w:r>
        <w:t>O ponto é o seguinte: a matéria-prima da Petrobras, o petróleo, faz parte da matriz energética de quase todas as empresas. Em outras palavras, para que outras empresas possam desempenhar bem suas atividades, elas precisam que a Petrobras esteja em plena condição de fornecer combustível ao mercado</w:t>
      </w:r>
    </w:p>
    <w:p w14:paraId="737B6D89" w14:textId="0F429663" w:rsidR="00956643" w:rsidRDefault="00956643" w:rsidP="00956643">
      <w:r>
        <w:t>Em resumo: a Petrobras, devido a seu produto, está correlacionada com quase todos os setores da economia. Acontece que conseguimos, através da fórmula abaixo, saber exatamente o quão correlacionados estão 2 ativos. No caso podemos saber, por exemplo, como a Petrobras está correlacionada com a ação do GPA (Grupo Pão de Açúcar).</w:t>
      </w:r>
    </w:p>
    <w:p w14:paraId="17913346" w14:textId="088FFCA8" w:rsidR="00956643" w:rsidRDefault="00956643" w:rsidP="00956643">
      <w:r>
        <w:t>Se você está atento, viu que estamos usando a covariância nessa fórmula.</w:t>
      </w:r>
    </w:p>
    <w:p w14:paraId="16DC5E59" w14:textId="34472ABF" w:rsidR="00956643" w:rsidRDefault="00956643" w:rsidP="00956643">
      <w:r>
        <w:rPr>
          <w:noProof/>
        </w:rPr>
        <w:drawing>
          <wp:inline distT="0" distB="0" distL="0" distR="0" wp14:anchorId="116BBF2E" wp14:editId="351539B2">
            <wp:extent cx="1476375" cy="762000"/>
            <wp:effectExtent l="0" t="0" r="9525"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76375" cy="762000"/>
                    </a:xfrm>
                    <a:prstGeom prst="rect">
                      <a:avLst/>
                    </a:prstGeom>
                    <a:noFill/>
                    <a:ln>
                      <a:noFill/>
                    </a:ln>
                  </pic:spPr>
                </pic:pic>
              </a:graphicData>
            </a:graphic>
          </wp:inline>
        </w:drawing>
      </w:r>
    </w:p>
    <w:p w14:paraId="077B3010" w14:textId="04435592" w:rsidR="00956643" w:rsidRDefault="00956643" w:rsidP="00956643">
      <w:r>
        <w:t xml:space="preserve">O ponto principal de tudo isso é que a correlação entre dois ativos estará sempre no conjunto numérico compreendido entre -1 e 1. Em outras palavras, o coeficiente de correlação será sempre maior ou igual a -1 e menor ou igual a 1. </w:t>
      </w:r>
    </w:p>
    <w:p w14:paraId="1BEF9C3F" w14:textId="77777777" w:rsidR="00956643" w:rsidRDefault="00956643" w:rsidP="00956643">
      <w:r>
        <w:t>Se a correlação entre 2 ativos for igual a 1, indica que os ativos são perfeitamente correlacionados e que, nesse caso, quando um ativo sobe, o outro sobe na mesma proporção.</w:t>
      </w:r>
    </w:p>
    <w:p w14:paraId="5249ECD6" w14:textId="77777777" w:rsidR="00956643" w:rsidRDefault="00956643" w:rsidP="00956643"/>
    <w:p w14:paraId="6785FD58" w14:textId="47E055AB" w:rsidR="00956643" w:rsidRDefault="00956643" w:rsidP="00956643">
      <w:r>
        <w:lastRenderedPageBreak/>
        <w:t>Se a correlação entre 2 ativos for igual a -1, indica que os ativos são inversamente correlacionados e que, nesse caso, quando um ativo sobe, o outro cai na mesma proporção</w:t>
      </w:r>
    </w:p>
    <w:p w14:paraId="4A4F65B6" w14:textId="7B85677E" w:rsidR="00956643" w:rsidRDefault="00956643" w:rsidP="00956643">
      <w:r>
        <w:t xml:space="preserve">Se a correlação entre 2 ativos for igual a 0, indica que os ativos não possuem relação entre si. </w:t>
      </w:r>
    </w:p>
    <w:p w14:paraId="40BE7C39" w14:textId="7FDA79F3" w:rsidR="00956643" w:rsidRDefault="00956643" w:rsidP="00956643">
      <w:r>
        <w:t xml:space="preserve">Alguns pontos importantes sobre a correlação: </w:t>
      </w:r>
    </w:p>
    <w:p w14:paraId="1BE5A4FF" w14:textId="47E38E64" w:rsidR="00956643" w:rsidRDefault="00956643" w:rsidP="00956643">
      <w:r>
        <w:rPr>
          <w:rFonts w:ascii="Segoe UI Symbol" w:hAnsi="Segoe UI Symbol" w:cs="Segoe UI Symbol"/>
        </w:rPr>
        <w:t>⯀</w:t>
      </w:r>
      <w:r>
        <w:t xml:space="preserve"> a correlação é um indicador que aponta o quanto uma carteira de investimentos é diversificada; </w:t>
      </w:r>
    </w:p>
    <w:p w14:paraId="5B31D33D" w14:textId="69464575" w:rsidR="00956643" w:rsidRDefault="00956643" w:rsidP="00956643">
      <w:r>
        <w:rPr>
          <w:rFonts w:ascii="Segoe UI Symbol" w:hAnsi="Segoe UI Symbol" w:cs="Segoe UI Symbol"/>
        </w:rPr>
        <w:t>⯀</w:t>
      </w:r>
      <w:r>
        <w:t xml:space="preserve"> quanto mais próximo de -1 for a correlação da carteira, maior será a eficiência de sua diversificação; </w:t>
      </w:r>
    </w:p>
    <w:p w14:paraId="17FC6208" w14:textId="4DB9BAF6" w:rsidR="00956643" w:rsidRDefault="00956643" w:rsidP="00956643">
      <w:r>
        <w:rPr>
          <w:rFonts w:ascii="Segoe UI Symbol" w:hAnsi="Segoe UI Symbol" w:cs="Segoe UI Symbol"/>
        </w:rPr>
        <w:t>⯀</w:t>
      </w:r>
      <w:r>
        <w:t xml:space="preserve"> quanto mais próximo de 1 for a correlação da carteira, menor será a eficiência da diversificação.</w:t>
      </w:r>
    </w:p>
    <w:p w14:paraId="48AF0BAD" w14:textId="3AE015E5" w:rsidR="00956643" w:rsidRDefault="00956643" w:rsidP="00956643">
      <w:r>
        <w:t xml:space="preserve">Coeficiente de Determinação </w:t>
      </w:r>
    </w:p>
    <w:p w14:paraId="3B779F60" w14:textId="15BE26B8" w:rsidR="00956643" w:rsidRDefault="00956643" w:rsidP="00956643">
      <w:r>
        <w:t>A gente já entendeu a função da correlação, certo? Como seria se eu (ou você) pudesse explicar a variação de preços das ações do GPA com base nas mudanças da Petrobrás?</w:t>
      </w:r>
    </w:p>
    <w:p w14:paraId="23044CFB" w14:textId="07384BBC" w:rsidR="00956643" w:rsidRDefault="00956643" w:rsidP="00956643">
      <w:r>
        <w:t>Seria legal, né? Isso é possível graças ao coeficiente de determinação. Para isso, basta elevar a correlação ao quadrado.</w:t>
      </w:r>
    </w:p>
    <w:p w14:paraId="5421D18C" w14:textId="71593AF9" w:rsidR="00956643" w:rsidRDefault="00956643" w:rsidP="00956643">
      <w:r>
        <w:t>Exemplo: se assumirmos que a correlação entre essas duas empresas é de 0,77, temos que o coeficiente de determinação, também chamado de R2, será de 0,772 e terá como resultado 0,6.</w:t>
      </w:r>
    </w:p>
    <w:p w14:paraId="293FAC18" w14:textId="26366A5A" w:rsidR="00956643" w:rsidRDefault="00956643" w:rsidP="00956643">
      <w:r>
        <w:t>Nesse caso poderíamos afirmar que 60% das variações de GPA podem ser explicadas com base na variação da Petrobrás.</w:t>
      </w:r>
    </w:p>
    <w:p w14:paraId="109ACDE6" w14:textId="67C219B4" w:rsidR="00956643" w:rsidRDefault="00956643" w:rsidP="00956643">
      <w:r>
        <w:rPr>
          <w:noProof/>
        </w:rPr>
        <w:drawing>
          <wp:inline distT="0" distB="0" distL="0" distR="0" wp14:anchorId="77F82D61" wp14:editId="755BF1A5">
            <wp:extent cx="5400040" cy="2228850"/>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2228850"/>
                    </a:xfrm>
                    <a:prstGeom prst="rect">
                      <a:avLst/>
                    </a:prstGeom>
                    <a:noFill/>
                    <a:ln>
                      <a:noFill/>
                    </a:ln>
                  </pic:spPr>
                </pic:pic>
              </a:graphicData>
            </a:graphic>
          </wp:inline>
        </w:drawing>
      </w:r>
    </w:p>
    <w:p w14:paraId="0ECC2777" w14:textId="13ACA039" w:rsidR="00991AC1" w:rsidRDefault="00991AC1" w:rsidP="00991AC1">
      <w:r>
        <w:t>Distribuição Normal</w:t>
      </w:r>
    </w:p>
    <w:p w14:paraId="70C3B30C" w14:textId="608B758F" w:rsidR="00991AC1" w:rsidRDefault="00991AC1" w:rsidP="00991AC1">
      <w:r>
        <w:t>Imagine que você tenha um investimento com média de retorno 2% e desvio padrão 1%. Seu cliente quer saber qual a probabilidade de, no próximo mês, esse investimento dar uma rentabilidade de 3%. Como encontrar essa resposta?</w:t>
      </w:r>
    </w:p>
    <w:p w14:paraId="3345B0E3" w14:textId="0164D0D8" w:rsidR="00991AC1" w:rsidRDefault="00991AC1" w:rsidP="00991AC1">
      <w:r>
        <w:t>Num passe de mágica (e com um pouco que matemática), você pode ter essa resposta se souber usar a distribuição normal.</w:t>
      </w:r>
    </w:p>
    <w:p w14:paraId="71A99B50" w14:textId="49815348" w:rsidR="00991AC1" w:rsidRDefault="00991AC1" w:rsidP="00991AC1">
      <w:r>
        <w:lastRenderedPageBreak/>
        <w:t>A Distribuição Normal, também conhecida como curva de Gauss, explica a probabilidade de um evento ocorrer.</w:t>
      </w:r>
    </w:p>
    <w:p w14:paraId="1C60ED8D" w14:textId="6129E5E5" w:rsidR="00956643" w:rsidRDefault="00991AC1" w:rsidP="00991AC1">
      <w:r>
        <w:t>Observe o gráfico a seguir:</w:t>
      </w:r>
    </w:p>
    <w:p w14:paraId="1F657CC7" w14:textId="356444CA" w:rsidR="00991AC1" w:rsidRDefault="00991AC1" w:rsidP="00991AC1">
      <w:r>
        <w:rPr>
          <w:noProof/>
        </w:rPr>
        <w:drawing>
          <wp:inline distT="0" distB="0" distL="0" distR="0" wp14:anchorId="6CFE4827" wp14:editId="4785197D">
            <wp:extent cx="5400040" cy="226695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2266950"/>
                    </a:xfrm>
                    <a:prstGeom prst="rect">
                      <a:avLst/>
                    </a:prstGeom>
                    <a:noFill/>
                    <a:ln>
                      <a:noFill/>
                    </a:ln>
                  </pic:spPr>
                </pic:pic>
              </a:graphicData>
            </a:graphic>
          </wp:inline>
        </w:drawing>
      </w:r>
    </w:p>
    <w:p w14:paraId="08D2CDEE" w14:textId="26F32E4C" w:rsidR="00991AC1" w:rsidRDefault="00991AC1" w:rsidP="00991AC1">
      <w:r>
        <w:t xml:space="preserve">Entendeu? Acho que falta uma explicação sem tanto “matematiquês”, certo? </w:t>
      </w:r>
    </w:p>
    <w:p w14:paraId="2AC00E9F" w14:textId="50A6B824" w:rsidR="00991AC1" w:rsidRDefault="00991AC1" w:rsidP="00991AC1">
      <w:r>
        <w:t xml:space="preserve">Vamos lá: essa teoria afirma que, quando temos uma média e um desvio padrão, é possível afirmar qual a probabilidade de um evento acontecer no futuro obedecendo a seguinte distribuição. </w:t>
      </w:r>
    </w:p>
    <w:p w14:paraId="3304221F" w14:textId="4DD071B3" w:rsidR="00991AC1" w:rsidRDefault="00991AC1" w:rsidP="00991AC1">
      <w:r>
        <w:t xml:space="preserve">Vamos usar o exemplo do começo desse tópico para ficar claro. </w:t>
      </w:r>
    </w:p>
    <w:p w14:paraId="036D82CF" w14:textId="0BBC31D5" w:rsidR="00991AC1" w:rsidRDefault="00991AC1" w:rsidP="00991AC1">
      <w:r>
        <w:t>Se eu tenho um investimento de média 2 e desvio padrão 1, significa que eu tenho 68,26% de probabilidade de ter, no próximo mês, uma rentabilidade no intervalo compreendido entre [1,3]</w:t>
      </w:r>
    </w:p>
    <w:p w14:paraId="00C357B6" w14:textId="42C49CB2" w:rsidR="00991AC1" w:rsidRDefault="00991AC1" w:rsidP="00991AC1">
      <w:r>
        <w:t xml:space="preserve">Como chegamos a essa conclusão? </w:t>
      </w:r>
    </w:p>
    <w:p w14:paraId="215BDB58" w14:textId="25F1A7F1" w:rsidR="00991AC1" w:rsidRDefault="00991AC1" w:rsidP="00991AC1">
      <w:r>
        <w:t xml:space="preserve">Cálculo para um desvio padrão: </w:t>
      </w:r>
    </w:p>
    <w:p w14:paraId="32027137" w14:textId="2182C0B8" w:rsidR="00991AC1" w:rsidRDefault="00991AC1" w:rsidP="00991AC1">
      <w:r>
        <w:rPr>
          <w:rFonts w:ascii="Segoe UI Symbol" w:hAnsi="Segoe UI Symbol" w:cs="Segoe UI Symbol"/>
        </w:rPr>
        <w:t>⯀</w:t>
      </w:r>
      <w:r>
        <w:t xml:space="preserve"> 2% (média) – 1% (um desvio padrão) = 1%; </w:t>
      </w:r>
    </w:p>
    <w:p w14:paraId="7424379F" w14:textId="30281E86" w:rsidR="00991AC1" w:rsidRDefault="00991AC1" w:rsidP="00991AC1">
      <w:r>
        <w:rPr>
          <w:rFonts w:ascii="Segoe UI Symbol" w:hAnsi="Segoe UI Symbol" w:cs="Segoe UI Symbol"/>
        </w:rPr>
        <w:t>⯀</w:t>
      </w:r>
      <w:r>
        <w:t xml:space="preserve"> 2% (média) + 1% (um desvio padrão) = 3%. </w:t>
      </w:r>
    </w:p>
    <w:p w14:paraId="63595DC9" w14:textId="0E27BFB1" w:rsidR="00991AC1" w:rsidRDefault="00991AC1" w:rsidP="00991AC1">
      <w:r>
        <w:t xml:space="preserve">Assim é de se esperar que os retornos deste fundo estejam entre: </w:t>
      </w:r>
    </w:p>
    <w:p w14:paraId="3B49E59E" w14:textId="58CBE7A6" w:rsidR="00991AC1" w:rsidRDefault="00991AC1" w:rsidP="00991AC1">
      <w:r>
        <w:rPr>
          <w:rFonts w:ascii="Segoe UI Symbol" w:hAnsi="Segoe UI Symbol" w:cs="Segoe UI Symbol"/>
        </w:rPr>
        <w:t>⯀</w:t>
      </w:r>
      <w:r>
        <w:t xml:space="preserve"> 1 a 3% Com aproximado 68% de confiança. Vamos explorar um pouco mais? E se usarmos 2 desvios padrão? Cálculo para dois desvios padrão: </w:t>
      </w:r>
    </w:p>
    <w:p w14:paraId="572AA879" w14:textId="4BD8D764" w:rsidR="00991AC1" w:rsidRDefault="00991AC1" w:rsidP="00991AC1">
      <w:r>
        <w:rPr>
          <w:rFonts w:ascii="Segoe UI Symbol" w:hAnsi="Segoe UI Symbol" w:cs="Segoe UI Symbol"/>
        </w:rPr>
        <w:t>⯀</w:t>
      </w:r>
      <w:r>
        <w:t xml:space="preserve"> 2% (média) – 2% (dois desvios padrão) = 0%; </w:t>
      </w:r>
    </w:p>
    <w:p w14:paraId="55E0F305" w14:textId="64167023" w:rsidR="00991AC1" w:rsidRDefault="00991AC1" w:rsidP="00991AC1">
      <w:r>
        <w:rPr>
          <w:rFonts w:ascii="Segoe UI Symbol" w:hAnsi="Segoe UI Symbol" w:cs="Segoe UI Symbol"/>
        </w:rPr>
        <w:t>⯀</w:t>
      </w:r>
      <w:r>
        <w:t xml:space="preserve"> 2% (média) + 2% (dois desvios padrão) = 4%. </w:t>
      </w:r>
    </w:p>
    <w:p w14:paraId="44F17AC0" w14:textId="71DA7063" w:rsidR="00991AC1" w:rsidRDefault="00991AC1" w:rsidP="00991AC1">
      <w:r>
        <w:t xml:space="preserve">Assim é de se esperar que os retornos desse fundo estejam entre: </w:t>
      </w:r>
    </w:p>
    <w:p w14:paraId="163EF741" w14:textId="2D56B13E" w:rsidR="00991AC1" w:rsidRDefault="00991AC1" w:rsidP="00991AC1">
      <w:r>
        <w:rPr>
          <w:rFonts w:ascii="Segoe UI Symbol" w:hAnsi="Segoe UI Symbol" w:cs="Segoe UI Symbol"/>
        </w:rPr>
        <w:t>⯀</w:t>
      </w:r>
      <w:r>
        <w:t xml:space="preserve"> 0% a 4%. Com aproximadamente 95,44% de confiança. </w:t>
      </w:r>
    </w:p>
    <w:p w14:paraId="0474B846" w14:textId="25E06A31" w:rsidR="00991AC1" w:rsidRDefault="00991AC1" w:rsidP="00991AC1">
      <w:r>
        <w:t xml:space="preserve">Para obter-se exatamente 95% de probabilidade, é necessário utilizarmos 1,96 desvios padrão. </w:t>
      </w:r>
    </w:p>
    <w:p w14:paraId="5497DC37" w14:textId="7DA45F13" w:rsidR="00991AC1" w:rsidRDefault="00991AC1" w:rsidP="00991AC1">
      <w:r>
        <w:t>Quer ter ainda mais confiança na análise?</w:t>
      </w:r>
    </w:p>
    <w:p w14:paraId="409F58AF" w14:textId="564DB1A1" w:rsidR="00991AC1" w:rsidRDefault="00991AC1" w:rsidP="00991AC1">
      <w:r>
        <w:lastRenderedPageBreak/>
        <w:t xml:space="preserve">Cálculo para três desvios padrão: </w:t>
      </w:r>
    </w:p>
    <w:p w14:paraId="4EDB6BAE" w14:textId="59ACD3FF" w:rsidR="00991AC1" w:rsidRDefault="00991AC1" w:rsidP="00991AC1">
      <w:r>
        <w:rPr>
          <w:rFonts w:ascii="Segoe UI Symbol" w:hAnsi="Segoe UI Symbol" w:cs="Segoe UI Symbol"/>
        </w:rPr>
        <w:t>⯀</w:t>
      </w:r>
      <w:r>
        <w:t xml:space="preserve"> 2% (média) – 3% (três desvios padrão) = –1%; </w:t>
      </w:r>
    </w:p>
    <w:p w14:paraId="7B42706D" w14:textId="5AE1BE37" w:rsidR="00991AC1" w:rsidRDefault="00991AC1" w:rsidP="00991AC1">
      <w:r>
        <w:rPr>
          <w:rFonts w:ascii="Segoe UI Symbol" w:hAnsi="Segoe UI Symbol" w:cs="Segoe UI Symbol"/>
        </w:rPr>
        <w:t>⯀</w:t>
      </w:r>
      <w:r>
        <w:t xml:space="preserve"> 2% (média) + 3% (três desvios padrão) = 5%.</w:t>
      </w:r>
    </w:p>
    <w:p w14:paraId="351186C9" w14:textId="214B1D39" w:rsidR="00991AC1" w:rsidRDefault="00991AC1" w:rsidP="00991AC1">
      <w:r>
        <w:t xml:space="preserve">Assim é de se esperar que os retornos desse fundo estejam entre: </w:t>
      </w:r>
    </w:p>
    <w:p w14:paraId="62AFBEFD" w14:textId="5A43DEB1" w:rsidR="00991AC1" w:rsidRDefault="00991AC1" w:rsidP="00991AC1">
      <w:r>
        <w:t xml:space="preserve"> </w:t>
      </w:r>
      <w:r>
        <w:rPr>
          <w:rFonts w:ascii="Segoe UI Symbol" w:hAnsi="Segoe UI Symbol" w:cs="Segoe UI Symbol"/>
        </w:rPr>
        <w:t>⯀</w:t>
      </w:r>
      <w:r>
        <w:t xml:space="preserve"> –1% a 5%. Com aproximadamente 99% de confiança.</w:t>
      </w:r>
    </w:p>
    <w:p w14:paraId="78C31845" w14:textId="77464793" w:rsidR="00991AC1" w:rsidRDefault="00C1364D" w:rsidP="00991AC1">
      <w:r>
        <w:rPr>
          <w:noProof/>
        </w:rPr>
        <w:drawing>
          <wp:inline distT="0" distB="0" distL="0" distR="0" wp14:anchorId="76993C28" wp14:editId="4B195FE1">
            <wp:extent cx="5391150" cy="232410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1150" cy="2324100"/>
                    </a:xfrm>
                    <a:prstGeom prst="rect">
                      <a:avLst/>
                    </a:prstGeom>
                    <a:noFill/>
                    <a:ln>
                      <a:noFill/>
                    </a:ln>
                  </pic:spPr>
                </pic:pic>
              </a:graphicData>
            </a:graphic>
          </wp:inline>
        </w:drawing>
      </w:r>
    </w:p>
    <w:p w14:paraId="127DF169" w14:textId="7432CA85" w:rsidR="00427B00" w:rsidRDefault="00427B00" w:rsidP="00427B00">
      <w:r>
        <w:t>Introdução ao Risco</w:t>
      </w:r>
    </w:p>
    <w:p w14:paraId="7DF59815" w14:textId="5B9049B3" w:rsidR="00427B00" w:rsidRDefault="00427B00" w:rsidP="00427B00">
      <w:r>
        <w:t>Antes de lançar mão das ferramentas de gestão de riscos, é importante dominarmos cada um dos riscos.</w:t>
      </w:r>
    </w:p>
    <w:p w14:paraId="5E34BC93" w14:textId="49683BC2" w:rsidR="00C1364D" w:rsidRDefault="00427B00" w:rsidP="00427B00">
      <w:r>
        <w:t>Para iniciarmos nossos estudos, lembre-se sempre de uma coisa: não existe nenhum ativo no mercado que seja considerado 100% livre de risco. Ou seja, o risco existe em todos os investimentos do mercado. Claro que alguns irão apresentar maior grau de risco do que outros.</w:t>
      </w:r>
    </w:p>
    <w:p w14:paraId="3EC95240" w14:textId="14385CE2" w:rsidR="00427B00" w:rsidRDefault="00427B00" w:rsidP="00427B00">
      <w:r>
        <w:rPr>
          <w:noProof/>
        </w:rPr>
        <w:drawing>
          <wp:inline distT="0" distB="0" distL="0" distR="0" wp14:anchorId="16A58C94" wp14:editId="5C165DCA">
            <wp:extent cx="5394960" cy="274320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4960" cy="2743200"/>
                    </a:xfrm>
                    <a:prstGeom prst="rect">
                      <a:avLst/>
                    </a:prstGeom>
                    <a:noFill/>
                    <a:ln>
                      <a:noFill/>
                    </a:ln>
                  </pic:spPr>
                </pic:pic>
              </a:graphicData>
            </a:graphic>
          </wp:inline>
        </w:drawing>
      </w:r>
    </w:p>
    <w:p w14:paraId="5CAB2F1C" w14:textId="77777777" w:rsidR="0051521F" w:rsidRDefault="0051521F" w:rsidP="0051521F">
      <w:r>
        <w:t xml:space="preserve">Risco x Retorno  </w:t>
      </w:r>
    </w:p>
    <w:p w14:paraId="2E3B1CFD" w14:textId="77777777" w:rsidR="0051521F" w:rsidRDefault="0051521F" w:rsidP="0051521F"/>
    <w:p w14:paraId="58F4F22E" w14:textId="659A5133" w:rsidR="0051521F" w:rsidRDefault="0051521F" w:rsidP="0051521F">
      <w:r>
        <w:lastRenderedPageBreak/>
        <w:t xml:space="preserve">Quando tomamos a decisão de investir, temos </w:t>
      </w:r>
      <w:proofErr w:type="gramStart"/>
      <w:r>
        <w:t>um visão</w:t>
      </w:r>
      <w:proofErr w:type="gramEnd"/>
      <w:r>
        <w:t xml:space="preserve"> de curto, médio e longo prazo, e levamos em conta o cenário econômico atual e as possíveis mudanças que podem ocorrer durante o tempo do investimento.</w:t>
      </w:r>
    </w:p>
    <w:p w14:paraId="1EFC1E30" w14:textId="6C2A10AE" w:rsidR="0051521F" w:rsidRDefault="0051521F" w:rsidP="0051521F">
      <w:r>
        <w:t>Podemos dizer que decisões financeiras são tomadas em um contexto de incerteza, que aumenta conforme o prazo do investimento aumenta.,</w:t>
      </w:r>
    </w:p>
    <w:p w14:paraId="3E2A3B5E" w14:textId="24CEC66B" w:rsidR="0051521F" w:rsidRDefault="0051521F" w:rsidP="0051521F">
      <w:r>
        <w:t xml:space="preserve">Assim sendo, é necessário tipificarmos os riscos presentes nos investimentos conforme a seguir: </w:t>
      </w:r>
    </w:p>
    <w:p w14:paraId="76A290C4" w14:textId="2B9EBD3B" w:rsidR="0051521F" w:rsidRDefault="0051521F" w:rsidP="0051521F">
      <w:r>
        <w:rPr>
          <w:rFonts w:ascii="Segoe UI Symbol" w:hAnsi="Segoe UI Symbol" w:cs="Segoe UI Symbol"/>
        </w:rPr>
        <w:t>⯀</w:t>
      </w:r>
      <w:r>
        <w:t xml:space="preserve"> Risco de Crédito; </w:t>
      </w:r>
    </w:p>
    <w:p w14:paraId="5DB078FA" w14:textId="03CE496B" w:rsidR="0051521F" w:rsidRDefault="0051521F" w:rsidP="0051521F">
      <w:r>
        <w:rPr>
          <w:rFonts w:ascii="Segoe UI Symbol" w:hAnsi="Segoe UI Symbol" w:cs="Segoe UI Symbol"/>
        </w:rPr>
        <w:t>⯀</w:t>
      </w:r>
      <w:r>
        <w:t xml:space="preserve"> Risco de Mercado; </w:t>
      </w:r>
    </w:p>
    <w:p w14:paraId="53C414F4" w14:textId="1BE33E34" w:rsidR="0051521F" w:rsidRDefault="0051521F" w:rsidP="0051521F">
      <w:r>
        <w:rPr>
          <w:rFonts w:ascii="Segoe UI Symbol" w:hAnsi="Segoe UI Symbol" w:cs="Segoe UI Symbol"/>
        </w:rPr>
        <w:t>⯀</w:t>
      </w:r>
      <w:r>
        <w:t xml:space="preserve"> Risco Sistemático; </w:t>
      </w:r>
    </w:p>
    <w:p w14:paraId="48A2B288" w14:textId="77D60A6F" w:rsidR="0051521F" w:rsidRDefault="0051521F" w:rsidP="0051521F">
      <w:r>
        <w:rPr>
          <w:rFonts w:ascii="Segoe UI Symbol" w:hAnsi="Segoe UI Symbol" w:cs="Segoe UI Symbol"/>
        </w:rPr>
        <w:t>⯀</w:t>
      </w:r>
      <w:r>
        <w:t xml:space="preserve"> Risco não sistemático; </w:t>
      </w:r>
    </w:p>
    <w:p w14:paraId="5968842B" w14:textId="695B3158" w:rsidR="0051521F" w:rsidRDefault="0051521F" w:rsidP="0051521F">
      <w:r>
        <w:rPr>
          <w:rFonts w:ascii="Segoe UI Symbol" w:hAnsi="Segoe UI Symbol" w:cs="Segoe UI Symbol"/>
        </w:rPr>
        <w:t>⯀</w:t>
      </w:r>
      <w:r>
        <w:t xml:space="preserve"> Risco de Liquidez; </w:t>
      </w:r>
    </w:p>
    <w:p w14:paraId="27F435F6" w14:textId="6A80E1E5" w:rsidR="0051521F" w:rsidRDefault="0051521F" w:rsidP="0051521F">
      <w:r>
        <w:rPr>
          <w:rFonts w:ascii="Segoe UI Symbol" w:hAnsi="Segoe UI Symbol" w:cs="Segoe UI Symbol"/>
        </w:rPr>
        <w:t>⯀</w:t>
      </w:r>
      <w:r>
        <w:t xml:space="preserve"> Risco de contraparte; </w:t>
      </w:r>
    </w:p>
    <w:p w14:paraId="10808E33" w14:textId="6D6701BA" w:rsidR="0051521F" w:rsidRDefault="0051521F" w:rsidP="0051521F">
      <w:r>
        <w:rPr>
          <w:rFonts w:ascii="Segoe UI Symbol" w:hAnsi="Segoe UI Symbol" w:cs="Segoe UI Symbol"/>
        </w:rPr>
        <w:t>⯀</w:t>
      </w:r>
      <w:r>
        <w:t xml:space="preserve"> Risco País.</w:t>
      </w:r>
    </w:p>
    <w:p w14:paraId="463DCE6C" w14:textId="23BA4039" w:rsidR="0051521F" w:rsidRDefault="0051521F" w:rsidP="0051521F">
      <w:r>
        <w:t>Risco de Crédito</w:t>
      </w:r>
    </w:p>
    <w:p w14:paraId="3F57B903" w14:textId="3B3E83BA" w:rsidR="0051521F" w:rsidRDefault="0051521F" w:rsidP="0051521F">
      <w:r>
        <w:t>Basicamente, o risco de crédito é o risco de calote. Aposto que você já sentiu esse medo alguma vez na vida. Talvez ao emprestar dinheiro para um amigo e ele ficar de pagar depois de uns meses. Só que esse amigo some e você nunca mais vê a cor do dinheiro</w:t>
      </w:r>
    </w:p>
    <w:p w14:paraId="6E3B3F35" w14:textId="6850592C" w:rsidR="0051521F" w:rsidRDefault="0051521F" w:rsidP="0051521F">
      <w:r>
        <w:t xml:space="preserve">Nesse caso você perde o dinheiro e o amigo, né? Isso é risco de crédito. </w:t>
      </w:r>
    </w:p>
    <w:p w14:paraId="58BDFBDE" w14:textId="6D79EEAF" w:rsidR="0051521F" w:rsidRDefault="0051521F" w:rsidP="0051521F">
      <w:r>
        <w:t>Se estamos falando que o risco de crédito é o risco de calote, então faz sentido pensar que só estou sujeito a esse risco quando eu empresto dinheiro a alguém, certo? Pois é, estou falando isso para deixar bem claro que o risco de crédito só está presente nos investimentos em Renda Fixa.</w:t>
      </w:r>
    </w:p>
    <w:p w14:paraId="09997165" w14:textId="79C69985" w:rsidR="0051521F" w:rsidRDefault="0051521F" w:rsidP="0051521F">
      <w:r>
        <w:t xml:space="preserve">Sendo assim, podemos afirmar que todo investimento de Renda Fixa terá risco de crédito. </w:t>
      </w:r>
    </w:p>
    <w:p w14:paraId="35B5877C" w14:textId="52FC7D86" w:rsidR="0051521F" w:rsidRDefault="0051521F" w:rsidP="0051521F">
      <w:r>
        <w:t xml:space="preserve">Risco de Contraparte </w:t>
      </w:r>
    </w:p>
    <w:p w14:paraId="08CF4EC3" w14:textId="3B686169" w:rsidR="0051521F" w:rsidRDefault="0051521F" w:rsidP="0051521F">
      <w:r>
        <w:t>Imagine que você tenha comprado nosso curso online e, depois de passar seu cartão de crédito, eu não entregasse o material prometido em nosso site. Aqui temos o risco de eu não cumprir minha parte. Isso é o risco de contraparte.</w:t>
      </w:r>
    </w:p>
    <w:p w14:paraId="5BB02F5B" w14:textId="2E6DC9EB" w:rsidR="0051521F" w:rsidRDefault="0051521F" w:rsidP="0051521F">
      <w:r>
        <w:t>No Mercado Financeiro, investidores estão o tempo inteiro comprando e vendendo títulos uns dos outros no mercado secundário. Faz sentido para você que existe o risco de, por exemplo, um investidor comprar um título e outro investidor não entregar esse título?</w:t>
      </w:r>
    </w:p>
    <w:p w14:paraId="111597B1" w14:textId="77777777" w:rsidR="0051521F" w:rsidRDefault="0051521F" w:rsidP="0051521F">
      <w:r>
        <w:t xml:space="preserve">Embora seja um risco presente nos investimentos, é algo mitigado </w:t>
      </w:r>
      <w:proofErr w:type="gramStart"/>
      <w:r>
        <w:t>nos dias atuais</w:t>
      </w:r>
      <w:proofErr w:type="gramEnd"/>
      <w:r>
        <w:t xml:space="preserve"> em função das clearings. As clearings, ao registrarem as transações, conseguem zerar o risco de contraparte das transações realizadas no mercado</w:t>
      </w:r>
    </w:p>
    <w:p w14:paraId="3D97502E" w14:textId="44E80EDE" w:rsidR="0051521F" w:rsidRDefault="0051521F" w:rsidP="0051521F">
      <w:r>
        <w:t>O risco de contraparte é facilmente confundido com o risco de crédito, já que ambos os riscos estão relacionados ao fato da outra parte não cumprir sua responsabilidade na negociação.</w:t>
      </w:r>
    </w:p>
    <w:p w14:paraId="21DE4335" w14:textId="158F33F7" w:rsidR="0051521F" w:rsidRDefault="0051521F" w:rsidP="0051521F">
      <w:r>
        <w:lastRenderedPageBreak/>
        <w:t>Dica do Kléber: quando a contraparte do ativo é o emissor de um título de renda fixa, o risco é de crédito. Se a contraparte é outro investidor, o risco é de contraparte. Sacou?</w:t>
      </w:r>
    </w:p>
    <w:p w14:paraId="2F80F505" w14:textId="31C951FD" w:rsidR="0051521F" w:rsidRDefault="0051521F" w:rsidP="0051521F">
      <w:r>
        <w:t xml:space="preserve">Risco de Liquidez (Negociabilidade)  </w:t>
      </w:r>
    </w:p>
    <w:p w14:paraId="3C5BD9D4" w14:textId="135B26C9" w:rsidR="0051521F" w:rsidRDefault="0051521F" w:rsidP="0051521F">
      <w:r>
        <w:t xml:space="preserve"> Imagine que você comprou um ativo por R$ 20. Amanhã você precisa desesperadamente vendê-lo, mas o valor dele caiu para R$ 15. Isso é Risco de Liquidez. Trata-se da dificuldade de vender um determinado ativo pelo preço justo e no momento desejado. A realização da operação, se ela for possível, implica numa alteração substancial nos preços do mercado</w:t>
      </w:r>
    </w:p>
    <w:p w14:paraId="3503EBDE" w14:textId="2AEBB8A0" w:rsidR="0051521F" w:rsidRDefault="0051521F" w:rsidP="0051521F">
      <w:r>
        <w:t xml:space="preserve">Geralmente acontece quando um ativo possui muitos vendedores e poucos compradores. </w:t>
      </w:r>
    </w:p>
    <w:p w14:paraId="2AB0AF90" w14:textId="3016902B" w:rsidR="0051521F" w:rsidRDefault="0051521F" w:rsidP="0051521F">
      <w:r>
        <w:t xml:space="preserve">O investimento em imóveis é um exemplo de uma aplicação com alto risco de liquidez. </w:t>
      </w:r>
    </w:p>
    <w:p w14:paraId="14F57EF8" w14:textId="6CA58461" w:rsidR="0051521F" w:rsidRDefault="0051521F" w:rsidP="0051521F">
      <w:r>
        <w:t xml:space="preserve">Risco de Mercado </w:t>
      </w:r>
    </w:p>
    <w:p w14:paraId="1B54C15D" w14:textId="24D47760" w:rsidR="0051521F" w:rsidRDefault="0051521F" w:rsidP="0051521F">
      <w:r>
        <w:t>Este risco pode ser traduzido em, basicamente, o quanto o preço de um ativo pode ser alterado pelo mercado.</w:t>
      </w:r>
    </w:p>
    <w:p w14:paraId="71B63CB6" w14:textId="05F4545A" w:rsidR="0051521F" w:rsidRDefault="0051521F" w:rsidP="0051521F">
      <w:r>
        <w:t>Por tudo que já vimos nos módulos anteriores, podemos afirmar que, ao investir o dinheiro em um título qualquer, o investidor está comprando esse título. E tudo o que se compra tem um preço, certo? Se esse preço tem uma forte variação, esse ativo possui um alto risco de mercado. Do contrário, se tem poucas variações, ele é um título com baixo risco de mercado</w:t>
      </w:r>
    </w:p>
    <w:p w14:paraId="0974260F" w14:textId="0954B633" w:rsidR="0051521F" w:rsidRDefault="0051521F" w:rsidP="0051521F">
      <w:r>
        <w:t>O exemplo mais clássico que podemos usar aqui é o preço das ações. Quando um investidor compra uma ação por R$ 20,00 ele espera que o mercado, ao longo do tempo, precifique essa ação por qualquer coisa acima deste valor para que tenha lucro. Quanto maior for a oscilação de preço dessa ação, maior será seu risco de mercado.</w:t>
      </w:r>
    </w:p>
    <w:p w14:paraId="2B7FB027" w14:textId="11DE6A2B" w:rsidR="0051521F" w:rsidRDefault="0051521F" w:rsidP="0051521F">
      <w:r>
        <w:t>Ainda no assunto de risco de mercado, podemos separá-lo em 2 tipos de riscos:</w:t>
      </w:r>
    </w:p>
    <w:p w14:paraId="72E53EDD" w14:textId="1C9BAA79" w:rsidR="0051521F" w:rsidRDefault="0051521F" w:rsidP="0051521F">
      <w:r>
        <w:rPr>
          <w:rFonts w:ascii="Segoe UI Symbol" w:hAnsi="Segoe UI Symbol" w:cs="Segoe UI Symbol"/>
        </w:rPr>
        <w:t>⯀</w:t>
      </w:r>
      <w:r>
        <w:t xml:space="preserve"> Risco sistemático: aqui estamos falando de eventos econômicos que afetam o preço de todos os ativos no Mercado Financeiro, não diversificável. Não há o que o investidor possa fazer para diminuir sua exposição a esse risco. Fatores como crise política, econômica, guerras ou desastres naturais se encaixam aqui. Ou seja, algo que está fora do controle de qualquer investidor. Posso usar como exemplo o dia em que o presidente da JBS, Joesley Batista, vazou uma gravação com o então presidente da república Michel Temer. Naquele dia, </w:t>
      </w:r>
      <w:proofErr w:type="gramStart"/>
      <w:r>
        <w:t>pra</w:t>
      </w:r>
      <w:proofErr w:type="gramEnd"/>
      <w:r>
        <w:t xml:space="preserve"> ser mais preciso no dia 18/05/2017, vazou na imprensa que essa gravação colocaria o governo, já sem credibilidade, em uma situação bem delicada. Nesse dia, todos os ativos do mercado perderam valor. Isso por conta do risco sistemático. O risco de todo o sistema.</w:t>
      </w:r>
    </w:p>
    <w:p w14:paraId="514FF449" w14:textId="1AE795F0" w:rsidR="00427B00" w:rsidRDefault="0051521F" w:rsidP="0051521F">
      <w:r>
        <w:t xml:space="preserve"> </w:t>
      </w:r>
      <w:r>
        <w:rPr>
          <w:rFonts w:ascii="Segoe UI Symbol" w:hAnsi="Segoe UI Symbol" w:cs="Segoe UI Symbol"/>
        </w:rPr>
        <w:t>⯀</w:t>
      </w:r>
      <w:r>
        <w:t xml:space="preserve"> Risco não sistemático: aqui estamos falando do risco que envolve somente uma empresa ou um setor da economia. Trata-se de um risco diversificável. Se usarmos contextos políticos recentes para entender o risco não sistemático, podemos lembrar da operação lava jato. Essa operação deflagrou, ainda em 2014, o maior esquema de corrupção que se tem (ou se tinha) conhecimento da nossa história. Todo esse esquema de corrupção foi feito através de uma empresa estatal: a Petrobrás. Durante essa investigação – </w:t>
      </w:r>
      <w:proofErr w:type="gramStart"/>
      <w:r>
        <w:t>e também</w:t>
      </w:r>
      <w:proofErr w:type="gramEnd"/>
      <w:r>
        <w:t xml:space="preserve"> por outros motivos, é claro – a Petrobras teve uma perda de valor de mercado (embora já tenha se recuperado) de 81% em seu patrimônio, de forma que as ações da empresa saíram de R$ 23,36 para R$ 4,41, conforme você pode ver no gráfico abaixo:</w:t>
      </w:r>
    </w:p>
    <w:p w14:paraId="416FD195" w14:textId="79C82036" w:rsidR="0051521F" w:rsidRDefault="0051521F" w:rsidP="0051521F"/>
    <w:p w14:paraId="0D88A4B7" w14:textId="554E15C2" w:rsidR="0051521F" w:rsidRDefault="0051521F" w:rsidP="0051521F">
      <w:r>
        <w:rPr>
          <w:noProof/>
        </w:rPr>
        <w:lastRenderedPageBreak/>
        <w:drawing>
          <wp:inline distT="0" distB="0" distL="0" distR="0" wp14:anchorId="73839D51" wp14:editId="6F069A2E">
            <wp:extent cx="5400040" cy="22479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247900"/>
                    </a:xfrm>
                    <a:prstGeom prst="rect">
                      <a:avLst/>
                    </a:prstGeom>
                    <a:noFill/>
                    <a:ln>
                      <a:noFill/>
                    </a:ln>
                  </pic:spPr>
                </pic:pic>
              </a:graphicData>
            </a:graphic>
          </wp:inline>
        </w:drawing>
      </w:r>
    </w:p>
    <w:p w14:paraId="735A42F5" w14:textId="1D4BBFEE" w:rsidR="0051521F" w:rsidRDefault="0051521F" w:rsidP="0051521F">
      <w:r>
        <w:t>Nesse caso temos uma perda expressiva de valor de uma única empresa e isso não necessariamente afeta outras empresas. Aqui, o investidor consegue se proteger ao fazer uma diversificação de sua carteira de investimentos. Por falar em diversificação, é sobre isso que vamos falar agora.</w:t>
      </w:r>
    </w:p>
    <w:p w14:paraId="4F845466" w14:textId="7E0EC8BA" w:rsidR="0051521F" w:rsidRDefault="0051521F" w:rsidP="0051521F">
      <w:r>
        <w:t>Diversificação</w:t>
      </w:r>
    </w:p>
    <w:p w14:paraId="6D57DCA1" w14:textId="18377B6A" w:rsidR="0051521F" w:rsidRDefault="0051521F" w:rsidP="0051521F">
      <w:r>
        <w:t xml:space="preserve">Esse é um assunto que eu sempre falo, diversifique sua carteira! </w:t>
      </w:r>
    </w:p>
    <w:p w14:paraId="546FE3C5" w14:textId="23863E18" w:rsidR="0051521F" w:rsidRDefault="0051521F" w:rsidP="0051521F">
      <w:r>
        <w:t xml:space="preserve">De um jeito bem simples, diversificação é “não colocar todos os ovos na mesma cesta”. </w:t>
      </w:r>
    </w:p>
    <w:p w14:paraId="090DAE4F" w14:textId="7008D51D" w:rsidR="0051521F" w:rsidRDefault="0051521F" w:rsidP="0051521F">
      <w:r>
        <w:t>No caso da Petrobras, que citei acima, se o investidor colocasse todo seu patrimônio em ações dessa empresa teria passado por fortes emoções nos anos de 2015 e 2016, né? O investidor, então, pode se proteger desse risco colocando seu patrimônio em diversas ações, preferencialmente de segmentos diferentes.</w:t>
      </w:r>
    </w:p>
    <w:p w14:paraId="2FA5A080" w14:textId="1DE4B4CB" w:rsidR="0051521F" w:rsidRDefault="0051521F" w:rsidP="0051521F">
      <w:r>
        <w:t>Quanto maior for a quantidade de empresas na carteira do investimento, maior será sua diversificação e menor será a exposição ao risco não sistemático da carteira. O gráfico abaixo representa uma carteira bem diversificada e sua exposição ao risco de mercado.</w:t>
      </w:r>
    </w:p>
    <w:p w14:paraId="69F8A1F1" w14:textId="62E3C713" w:rsidR="0051521F" w:rsidRDefault="0051521F" w:rsidP="0051521F">
      <w:r>
        <w:rPr>
          <w:noProof/>
        </w:rPr>
        <w:drawing>
          <wp:inline distT="0" distB="0" distL="0" distR="0" wp14:anchorId="6C389136" wp14:editId="647890A5">
            <wp:extent cx="5248275" cy="2914650"/>
            <wp:effectExtent l="0" t="0" r="952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48275" cy="2914650"/>
                    </a:xfrm>
                    <a:prstGeom prst="rect">
                      <a:avLst/>
                    </a:prstGeom>
                    <a:noFill/>
                    <a:ln>
                      <a:noFill/>
                    </a:ln>
                  </pic:spPr>
                </pic:pic>
              </a:graphicData>
            </a:graphic>
          </wp:inline>
        </w:drawing>
      </w:r>
    </w:p>
    <w:p w14:paraId="102D7174" w14:textId="74340FE8" w:rsidR="0051521F" w:rsidRDefault="0051521F" w:rsidP="0051521F">
      <w:r>
        <w:lastRenderedPageBreak/>
        <w:t xml:space="preserve">O que temos no gráfico é o seguinte: o eixo X representa a quantidade de ativos na carteira do investidor e o eixo Y, a quantidade de risco da sua carteira. Perceba que, quando eu aumento a quantidade de ativos na carteira, o meu risco vai diminuindo. </w:t>
      </w:r>
    </w:p>
    <w:p w14:paraId="7C75CB9E" w14:textId="0C53359D" w:rsidR="0051521F" w:rsidRDefault="0051521F" w:rsidP="0051521F">
      <w:r>
        <w:t xml:space="preserve"> O ponto a destacar aqui é:</w:t>
      </w:r>
    </w:p>
    <w:p w14:paraId="0C71EDDA" w14:textId="6F3C8519" w:rsidR="0051521F" w:rsidRDefault="0051521F" w:rsidP="0051521F">
      <w:r>
        <w:t>independente da quantidade ativos, ou melhor dizendo, independente do tamanho da diversificação, o investidor sempre estará exposto ao risco sistemático na mesma proporção.</w:t>
      </w:r>
    </w:p>
    <w:p w14:paraId="6C8BA170" w14:textId="7FCB11B4" w:rsidR="0051521F" w:rsidRDefault="0051521F" w:rsidP="0051521F">
      <w:r>
        <w:t>Em resumo: a diversificação é muito eficiente para proteger o investidor do risco não sistemático. No entanto, o risco sistemático não possui nenhum mecanismo de proteção.</w:t>
      </w:r>
    </w:p>
    <w:p w14:paraId="2E93376A" w14:textId="2C732FE3" w:rsidR="0051521F" w:rsidRDefault="0051521F" w:rsidP="0051521F">
      <w:r>
        <w:t xml:space="preserve">Risco-País </w:t>
      </w:r>
    </w:p>
    <w:p w14:paraId="01B7ED9D" w14:textId="5A00D6EE" w:rsidR="0051521F" w:rsidRDefault="0051521F" w:rsidP="0051521F">
      <w:r>
        <w:t xml:space="preserve">Estávamos até agora falando sobre os riscos dos investimentos e seus emissores. Agora lembre-se de quando falamos sobre os Títulos Públicos, que o governo é um emissor de títulos. E a pergunta que fica é: por que um investidor compra títulos públicos emitidos pelo Brasil e não um emitido pelo governo da Venezuela? Como a gente sabe se um país tem condições de pagar por suas dívidas contraídas? </w:t>
      </w:r>
    </w:p>
    <w:p w14:paraId="4D1CA7B7" w14:textId="6D423C87" w:rsidR="0051521F" w:rsidRDefault="0051521F" w:rsidP="0051521F">
      <w:r>
        <w:t xml:space="preserve">A resposta é: Risco-País. </w:t>
      </w:r>
    </w:p>
    <w:p w14:paraId="3D86BC5B" w14:textId="064412C7" w:rsidR="0051521F" w:rsidRDefault="0051521F" w:rsidP="0051521F">
      <w:r>
        <w:t xml:space="preserve">O Risco-País, nada mais é que um indicador de capacidade de pagamento de um País. Precisamente, ele é denominado EMBI+ (Emerging Markets Bond Index Plus), sendo calculado por bancos de investimento e agências de classificação de risco. </w:t>
      </w:r>
    </w:p>
    <w:p w14:paraId="6EA38786" w14:textId="7C90FD1C" w:rsidR="0051521F" w:rsidRDefault="0051521F" w:rsidP="0051521F">
      <w:r>
        <w:t>Tal termo foi criado pelo banco J.</w:t>
      </w:r>
      <w:proofErr w:type="gramStart"/>
      <w:r>
        <w:t>P.Morgan</w:t>
      </w:r>
      <w:proofErr w:type="gramEnd"/>
      <w:r>
        <w:t xml:space="preserve"> em 1992 para poder orientar seus clientes sobre o direcionamento de seus investimentos, evitando aqueles países em que o risco de ocorrer uma crise financeira é maior.</w:t>
      </w:r>
    </w:p>
    <w:p w14:paraId="30D9373F" w14:textId="614B0A70" w:rsidR="0051521F" w:rsidRDefault="0051521F" w:rsidP="0051521F">
      <w:r>
        <w:t xml:space="preserve">Para calcular o índice, os bancos levam em conta vários fatores como o nível do déficit fiscal, o crescimento da economia, a relação entre arrecadação e a dívida de um país, as turbulências </w:t>
      </w:r>
      <w:proofErr w:type="gramStart"/>
      <w:r>
        <w:t>políticas, etc.</w:t>
      </w:r>
      <w:proofErr w:type="gramEnd"/>
      <w:r>
        <w:t xml:space="preserve"> Em outras palavras, o Risco-País mostra a sobretaxa que um investidor está correndo o risco de pagar em relação ao rendimento dos papéis da economia americana, uma vez que esta é considerada a mais solvente do mundo.</w:t>
      </w:r>
    </w:p>
    <w:p w14:paraId="015F2E04" w14:textId="16DC60DA" w:rsidR="0051521F" w:rsidRDefault="0051521F" w:rsidP="0051521F">
      <w:r>
        <w:t>O índice é calculado em pontos básicos, onde cada ponto corresponde a 0,01 ponto percentual de prêmio acima do rendimento dos papéis da dívida dos EUA. Se o Risco-País do Brasil for 200, por exemplo, isso significa que os estrangeiros “merecem” um prêmio de 2 pontos percentuais de rendimento acima do que paga um igual papel americano.</w:t>
      </w:r>
    </w:p>
    <w:p w14:paraId="11A265C9" w14:textId="1F7C4FD5" w:rsidR="0051521F" w:rsidRDefault="0051521F" w:rsidP="0051521F">
      <w:r>
        <w:t>Quanto maior o EMBI+, maior tem de ser a remuneração que o governo deve oferecer por seus títulos. Em outras palavras, o EMBI+ alto “puxa” a taxa básica de juros da economia para cima. Se lembrarmos das aulas de Políticas Monetárias, quanto maior for a Selic, maior será o custo do dinheiro e, por consequência, menor será a capacidade de investimento por parte das empresas que captam recursos do mercado.</w:t>
      </w:r>
    </w:p>
    <w:p w14:paraId="6E901DED" w14:textId="7F0F6089" w:rsidR="0051521F" w:rsidRDefault="0051521F" w:rsidP="0051521F">
      <w:r>
        <w:t>É chegada a hora então, de toda a gurizada da TopInvest saber como gerenciar esses riscos. Para começar esse assunto, vamos falar de cross default.</w:t>
      </w:r>
    </w:p>
    <w:p w14:paraId="02E0C2C3" w14:textId="0BF776E3" w:rsidR="0051521F" w:rsidRDefault="0051521F" w:rsidP="0051521F">
      <w:r>
        <w:t xml:space="preserve">Cross Default  </w:t>
      </w:r>
    </w:p>
    <w:p w14:paraId="246C87D0" w14:textId="2F98938B" w:rsidR="0051521F" w:rsidRDefault="0051521F" w:rsidP="0051521F">
      <w:r>
        <w:t xml:space="preserve">A tradução livre de cross default seria “vencimento cruzado”. Alguns contratos financeiros e investimentos em Renda Fixa (sendo muito mais comum em debêntures) podem ter cross </w:t>
      </w:r>
      <w:r>
        <w:lastRenderedPageBreak/>
        <w:t>default, mas vou dar um exemplo para você entender melhor o significado dessas duas palavrinhas gringas.</w:t>
      </w:r>
    </w:p>
    <w:p w14:paraId="7445BA49" w14:textId="0B61145D" w:rsidR="0051521F" w:rsidRDefault="0051521F" w:rsidP="0051521F">
      <w:r>
        <w:t>Imagine que você pega R$ 10.000,00 emprestados com um amigo e promete pagar depois de 1 ano. Ao mesmo tempo, você faz um contrato com cross default. Depois de alguns meses, você atrasa uma conta de luz. A partir deste momento, a sua dívida de 1 mil reais pode ser considerada vencida e cobrada na justiça.</w:t>
      </w:r>
    </w:p>
    <w:p w14:paraId="0A891099" w14:textId="2656F799" w:rsidR="0051521F" w:rsidRDefault="0051521F" w:rsidP="0051521F">
      <w:r>
        <w:t>Em resumo, o cross default é uma garantia adicional onde todos os vencimentos da empresa podem refletir na dívida que tem essa garantia. Se uma empresa emite Debêntures com essa cláusula e atrasa o pagamento do aluguel de sua fábrica, o agente fiduciário dessa Debênture pode acionar a empresa para liquidação das próprias Debêntures.</w:t>
      </w:r>
    </w:p>
    <w:p w14:paraId="266588DB" w14:textId="71656AD1" w:rsidR="0051521F" w:rsidRDefault="0051521F" w:rsidP="0051521F">
      <w:r>
        <w:t xml:space="preserve">O cross default é uma garantia adicional para diminuir o risco de crédito dos ativos. Por isso, é relevante falarmos </w:t>
      </w:r>
      <w:proofErr w:type="gramStart"/>
      <w:r>
        <w:t>das estatística</w:t>
      </w:r>
      <w:proofErr w:type="gramEnd"/>
      <w:r>
        <w:t xml:space="preserve"> e suas aplicações no mercado.</w:t>
      </w:r>
    </w:p>
    <w:p w14:paraId="54A82810" w14:textId="5ABFC3A4" w:rsidR="0051521F" w:rsidRDefault="0051521F" w:rsidP="0051521F">
      <w:r>
        <w:t>Risco de Liquidação</w:t>
      </w:r>
    </w:p>
    <w:p w14:paraId="2A0BF2A9" w14:textId="09C16431" w:rsidR="0051521F" w:rsidRDefault="0051521F" w:rsidP="0051521F">
      <w:r>
        <w:t>O processo de encerrar um negócio e distribuir seus ativos aos requerentes normalmente ocorre quando a empresa é insolvente, ou seja, não pode mais pagar suas obrigações no vencimento. Quando a empresa chega e este ponto, normalmente, são acionados mecanismos de segurança como a recuperação judicial ou o processo de falência.</w:t>
      </w:r>
    </w:p>
    <w:p w14:paraId="00AE0406" w14:textId="5B2D57B5" w:rsidR="0051521F" w:rsidRDefault="0051521F" w:rsidP="0051521F">
      <w:r>
        <w:t>Uma vez finalizadas as operações da empresa os ativos restantes são usados para o pagamento dos credores e acionistas de acordo com a sua respectiva prioridade. O risco de liquidação aqui no caso 2 é justamente o risco de que você esteja nas últimas posições da fila de prioridades e não venha a receber seus recursos.</w:t>
      </w:r>
    </w:p>
    <w:p w14:paraId="702E258A" w14:textId="758AA586" w:rsidR="0051521F" w:rsidRDefault="0051521F" w:rsidP="0051521F">
      <w:r>
        <w:t xml:space="preserve">Depois disso mesmo a empresa não existindo mais, a dívida continua a existir. </w:t>
      </w:r>
    </w:p>
    <w:p w14:paraId="3575765F" w14:textId="62FCFFA9" w:rsidR="0051521F" w:rsidRDefault="0051521F" w:rsidP="0051521F">
      <w:r>
        <w:t>1. É o processo de encerrar uma empresa e distribuir seus ativos aos requerentes (investidores e fornecedores);</w:t>
      </w:r>
    </w:p>
    <w:p w14:paraId="34E04E9E" w14:textId="1EE8EB83" w:rsidR="0051521F" w:rsidRDefault="0051521F" w:rsidP="0051521F">
      <w:r>
        <w:t xml:space="preserve"> 2. E, o último significado de liquidação também pode significar o ato de sair de uma posição de títulos, ou seja, vender a posição por dinheiro;</w:t>
      </w:r>
    </w:p>
    <w:p w14:paraId="3260471C" w14:textId="689FB064" w:rsidR="0051521F" w:rsidRDefault="0051521F" w:rsidP="0051521F">
      <w:r>
        <w:t xml:space="preserve">Lá no terceiro exemplo quando falamos do ato de sair de uma posição de títulos vendendo a posição por dinheiro é importante saber que existe uma Clearing House para trazer segurança ao processo. </w:t>
      </w:r>
    </w:p>
    <w:p w14:paraId="568B7E07" w14:textId="77777777" w:rsidR="0051521F" w:rsidRDefault="0051521F" w:rsidP="0051521F">
      <w:r>
        <w:t>Já imaginou o prejuízo de vender títulos do Tesouro Direto e estes não serem liquidados corretamente com a contraparte e você não ter o dinheiro creditado em sua conta? Pois bem, este é o risco de liquidação quando estamos tratando de investimentos em ativos financeiros.</w:t>
      </w:r>
    </w:p>
    <w:p w14:paraId="73EE79B5" w14:textId="77777777" w:rsidR="0051521F" w:rsidRDefault="0051521F" w:rsidP="0051521F">
      <w:r>
        <w:t>De forma simples, o risco de liquidez é a chance de insolvência no caso de empresas ou o risco de ocorrer uma perda por falha nos sistemas de liquidação de títulos financeira.</w:t>
      </w:r>
    </w:p>
    <w:p w14:paraId="575904B6" w14:textId="1EBFFFC1" w:rsidR="0051521F" w:rsidRDefault="0051521F" w:rsidP="0051521F">
      <w:r>
        <w:rPr>
          <w:noProof/>
        </w:rPr>
        <w:lastRenderedPageBreak/>
        <w:drawing>
          <wp:inline distT="0" distB="0" distL="0" distR="0" wp14:anchorId="3139C3A0" wp14:editId="3A5EABC5">
            <wp:extent cx="5400040" cy="2562225"/>
            <wp:effectExtent l="0" t="0" r="0" b="952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2562225"/>
                    </a:xfrm>
                    <a:prstGeom prst="rect">
                      <a:avLst/>
                    </a:prstGeom>
                    <a:noFill/>
                    <a:ln>
                      <a:noFill/>
                    </a:ln>
                  </pic:spPr>
                </pic:pic>
              </a:graphicData>
            </a:graphic>
          </wp:inline>
        </w:drawing>
      </w:r>
    </w:p>
    <w:p w14:paraId="46C35146" w14:textId="4F0D514C" w:rsidR="0051521F" w:rsidRDefault="0051521F" w:rsidP="0051521F"/>
    <w:p w14:paraId="4CF4B876" w14:textId="0C1BF4F6" w:rsidR="0051521F" w:rsidRDefault="00883691" w:rsidP="0051521F">
      <w:r w:rsidRPr="00883691">
        <w:t>Risco de Crédito</w:t>
      </w:r>
    </w:p>
    <w:p w14:paraId="27914105" w14:textId="16EB6581" w:rsidR="00883691" w:rsidRDefault="00883691" w:rsidP="0051521F">
      <w:r>
        <w:rPr>
          <w:noProof/>
        </w:rPr>
        <w:drawing>
          <wp:inline distT="0" distB="0" distL="0" distR="0" wp14:anchorId="19C4D12E" wp14:editId="79076AB9">
            <wp:extent cx="5400040" cy="173355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040" cy="1733550"/>
                    </a:xfrm>
                    <a:prstGeom prst="rect">
                      <a:avLst/>
                    </a:prstGeom>
                    <a:noFill/>
                    <a:ln>
                      <a:noFill/>
                    </a:ln>
                  </pic:spPr>
                </pic:pic>
              </a:graphicData>
            </a:graphic>
          </wp:inline>
        </w:drawing>
      </w:r>
    </w:p>
    <w:p w14:paraId="5F4E817D" w14:textId="6DD84AB7" w:rsidR="00B451A6" w:rsidRDefault="00B451A6" w:rsidP="0051521F">
      <w:r w:rsidRPr="00B451A6">
        <w:t>NOVO - Risco da Empresa</w:t>
      </w:r>
    </w:p>
    <w:p w14:paraId="2F13D06E" w14:textId="1DB73A01" w:rsidR="00B451A6" w:rsidRDefault="00B451A6" w:rsidP="00B451A6">
      <w:r>
        <w:t>O QUE É RISCO DA EMPRESA?</w:t>
      </w:r>
    </w:p>
    <w:p w14:paraId="133721B0" w14:textId="19390505" w:rsidR="00B451A6" w:rsidRDefault="00B451A6" w:rsidP="00B451A6">
      <w:r>
        <w:t>Risco da empresa está relacionado a ocorrência de um evento que pode causar danos a uma empresa, como por exemplo: riscos operacionais, riscos humanos como acidentes envolvendo funcionários, riscos patrimoniais, riscos financeiros, riscos de imagem, dentre diversos outros. Ou seja, está inerente ao risco de mercado ou risco não sistêmico.</w:t>
      </w:r>
    </w:p>
    <w:p w14:paraId="2DC6842E" w14:textId="3B823D53" w:rsidR="00B451A6" w:rsidRDefault="00B451A6" w:rsidP="00B451A6">
      <w:r>
        <w:t>Também pode ser chamado de:</w:t>
      </w:r>
    </w:p>
    <w:p w14:paraId="5BC25DAB" w14:textId="0E776EF3" w:rsidR="00B451A6" w:rsidRDefault="00B451A6" w:rsidP="00B451A6">
      <w:r>
        <w:t>Risco de negócio: quando a empresa não atinge os resultados financeiros planejados.</w:t>
      </w:r>
    </w:p>
    <w:p w14:paraId="1F08FF24" w14:textId="16E812EF" w:rsidR="00B451A6" w:rsidRDefault="00B451A6" w:rsidP="00B451A6">
      <w:r>
        <w:t>Risco financeiro: quando a empresa não cumpre com as suas dívidas.</w:t>
      </w:r>
    </w:p>
    <w:p w14:paraId="64A63C19" w14:textId="602B0635" w:rsidR="00B451A6" w:rsidRDefault="00B451A6" w:rsidP="00B451A6">
      <w:r>
        <w:t>Outros exemplos de riscos da empresa:</w:t>
      </w:r>
    </w:p>
    <w:p w14:paraId="70B7486E" w14:textId="6D99FF9C" w:rsidR="00B451A6" w:rsidRDefault="00B451A6" w:rsidP="00B451A6">
      <w:r>
        <w:t>Risco estratégico:  fatores que prejudiquem o alcance dos objetivos estratégicos, os quais representam a sobrevivência e a sustentabilidade do empreendimento</w:t>
      </w:r>
    </w:p>
    <w:p w14:paraId="4262A450" w14:textId="77777777" w:rsidR="00B451A6" w:rsidRDefault="00B451A6" w:rsidP="00B451A6">
      <w:r>
        <w:t>Riscos no ambiente de trabalho: a empresa precisa cuidar do espaço físico (como ruídos e temperaturas extremas), químicos (como substâncias tóxicas) e biológicos (como vírus, bactérias e protozoários), riscos ergonômicos (como repetitividade de atividades e postura inadequada) e de acidentes (como explosões, incêndios e quedas).</w:t>
      </w:r>
    </w:p>
    <w:p w14:paraId="5D4670BF" w14:textId="77777777" w:rsidR="00B451A6" w:rsidRDefault="00B451A6" w:rsidP="00B451A6"/>
    <w:p w14:paraId="3125D50C" w14:textId="72602780" w:rsidR="00B451A6" w:rsidRDefault="00B451A6" w:rsidP="00B451A6">
      <w:r>
        <w:t>Riscos cibernéticos: a empresa deve investir na proteção dos sistemas da empresa, com antivírus e firewalls para evitar ataques cibernéticos, por exemplo.</w:t>
      </w:r>
    </w:p>
    <w:p w14:paraId="00F79737" w14:textId="47EFF424" w:rsidR="00B451A6" w:rsidRDefault="00B451A6" w:rsidP="0051521F">
      <w:r>
        <w:rPr>
          <w:noProof/>
        </w:rPr>
        <w:drawing>
          <wp:inline distT="0" distB="0" distL="0" distR="0" wp14:anchorId="62C8A212" wp14:editId="205D4D09">
            <wp:extent cx="5391150" cy="226695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150" cy="2266950"/>
                    </a:xfrm>
                    <a:prstGeom prst="rect">
                      <a:avLst/>
                    </a:prstGeom>
                    <a:noFill/>
                    <a:ln>
                      <a:noFill/>
                    </a:ln>
                  </pic:spPr>
                </pic:pic>
              </a:graphicData>
            </a:graphic>
          </wp:inline>
        </w:drawing>
      </w:r>
    </w:p>
    <w:p w14:paraId="5B75D547" w14:textId="6E02A7E2" w:rsidR="00B451A6" w:rsidRDefault="00B451A6" w:rsidP="0051521F">
      <w:r w:rsidRPr="00B451A6">
        <w:t>Conceito de Ativos Livres de Risco</w:t>
      </w:r>
    </w:p>
    <w:p w14:paraId="76EF8927" w14:textId="516A6451" w:rsidR="00B451A6" w:rsidRDefault="00B451A6" w:rsidP="0051521F">
      <w:r>
        <w:rPr>
          <w:noProof/>
        </w:rPr>
        <w:drawing>
          <wp:inline distT="0" distB="0" distL="0" distR="0" wp14:anchorId="22E66FD8" wp14:editId="0B841CCA">
            <wp:extent cx="5391150" cy="209550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1150" cy="2095500"/>
                    </a:xfrm>
                    <a:prstGeom prst="rect">
                      <a:avLst/>
                    </a:prstGeom>
                    <a:noFill/>
                    <a:ln>
                      <a:noFill/>
                    </a:ln>
                  </pic:spPr>
                </pic:pic>
              </a:graphicData>
            </a:graphic>
          </wp:inline>
        </w:drawing>
      </w:r>
    </w:p>
    <w:p w14:paraId="7997674A" w14:textId="308ED4F9" w:rsidR="00B451A6" w:rsidRDefault="007D66C4" w:rsidP="0051521F">
      <w:r w:rsidRPr="007D66C4">
        <w:t>Relação de Risco x Retorno e o Princípio de Dominância dos Ativos</w:t>
      </w:r>
    </w:p>
    <w:p w14:paraId="728D20F5" w14:textId="5ADC4FE2" w:rsidR="007D66C4" w:rsidRDefault="007D66C4" w:rsidP="0051521F">
      <w:r>
        <w:rPr>
          <w:noProof/>
        </w:rPr>
        <w:drawing>
          <wp:inline distT="0" distB="0" distL="0" distR="0" wp14:anchorId="0A7FA7A0" wp14:editId="194004F3">
            <wp:extent cx="5400040" cy="1724025"/>
            <wp:effectExtent l="0" t="0" r="0" b="952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1724025"/>
                    </a:xfrm>
                    <a:prstGeom prst="rect">
                      <a:avLst/>
                    </a:prstGeom>
                    <a:noFill/>
                    <a:ln>
                      <a:noFill/>
                    </a:ln>
                  </pic:spPr>
                </pic:pic>
              </a:graphicData>
            </a:graphic>
          </wp:inline>
        </w:drawing>
      </w:r>
    </w:p>
    <w:p w14:paraId="2B5DBC76" w14:textId="77777777" w:rsidR="007D66C4" w:rsidRDefault="007D66C4" w:rsidP="007D66C4"/>
    <w:p w14:paraId="7EA959E4" w14:textId="77777777" w:rsidR="007D66C4" w:rsidRDefault="007D66C4" w:rsidP="007D66C4"/>
    <w:p w14:paraId="5DDC7207" w14:textId="77777777" w:rsidR="007D66C4" w:rsidRDefault="007D66C4" w:rsidP="007D66C4"/>
    <w:p w14:paraId="039382D9" w14:textId="77777777" w:rsidR="007D66C4" w:rsidRDefault="007D66C4" w:rsidP="007D66C4"/>
    <w:p w14:paraId="0C7CB45C" w14:textId="6D0F6B47" w:rsidR="007D66C4" w:rsidRDefault="007D66C4" w:rsidP="007D66C4">
      <w:r>
        <w:lastRenderedPageBreak/>
        <w:t>Índice de Sharpe</w:t>
      </w:r>
    </w:p>
    <w:p w14:paraId="0ECCB4AB" w14:textId="4D0F82A4" w:rsidR="007D66C4" w:rsidRDefault="007D66C4" w:rsidP="007D66C4">
      <w:r>
        <w:t>Se eu dissesse a você que um investimento paga 50% de retorno ao mês, parece ser um investimento atrativo. Diante dessa promessa incrível é provável que você desconfie dos riscos desses investimentos, certo? Acontece que, no Mercado Financeiro, nem sempre temos como saber sobre o risco de um dado investimento só olhando para a rentabilidade.</w:t>
      </w:r>
    </w:p>
    <w:p w14:paraId="33782055" w14:textId="1A81FF01" w:rsidR="007D66C4" w:rsidRDefault="007D66C4" w:rsidP="007D66C4">
      <w:r>
        <w:t>Para exemplificar com um caso mais real, imagine a seguinte situação: você precisa escolher dois produtos de investimentos que entregaram média de 2% de rentabilidade. Qual dos dois você escolhe? Se os dois produtos têm a mesma rentabilidade nós devemos buscar aquele que tem menor risco, faz sentido?</w:t>
      </w:r>
    </w:p>
    <w:p w14:paraId="38DFA00F" w14:textId="08209472" w:rsidR="007D66C4" w:rsidRDefault="007D66C4" w:rsidP="007D66C4">
      <w:r>
        <w:t>Agora imagine que tenhamos de escolher entre outros 2 produtos, só que agora o que sabemos é que ambos têm o mesmo risco. Nesse caso, qual escolher? Se temos o mesmo risco, então devemos buscar aquele com maior rentabilidade. Faz sentido para você?</w:t>
      </w:r>
    </w:p>
    <w:p w14:paraId="50F183AB" w14:textId="6713B62D" w:rsidR="007D66C4" w:rsidRDefault="007D66C4" w:rsidP="007D66C4">
      <w:r>
        <w:t>É aqui que entra o Índice de Sharpe, criado por William Sharpe (Nobel de Economia em 1990, chique, né?). Este índice é um indicador que permite avaliar a relação entre o retorno e o risco de um investimento. Para calcular essa relação temos de lançar mão da seguinte fórmula</w:t>
      </w:r>
    </w:p>
    <w:p w14:paraId="7A40CC10" w14:textId="79686510" w:rsidR="007D66C4" w:rsidRDefault="007D66C4" w:rsidP="007D66C4">
      <w:r>
        <w:rPr>
          <w:noProof/>
        </w:rPr>
        <w:drawing>
          <wp:inline distT="0" distB="0" distL="0" distR="0" wp14:anchorId="69DDD209" wp14:editId="71FEAEA8">
            <wp:extent cx="1133475" cy="666750"/>
            <wp:effectExtent l="0" t="0" r="9525"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33475" cy="666750"/>
                    </a:xfrm>
                    <a:prstGeom prst="rect">
                      <a:avLst/>
                    </a:prstGeom>
                    <a:noFill/>
                    <a:ln>
                      <a:noFill/>
                    </a:ln>
                  </pic:spPr>
                </pic:pic>
              </a:graphicData>
            </a:graphic>
          </wp:inline>
        </w:drawing>
      </w:r>
    </w:p>
    <w:p w14:paraId="12DE675F" w14:textId="511BC096" w:rsidR="007D66C4" w:rsidRDefault="007D66C4" w:rsidP="007D66C4">
      <w:r>
        <w:t>O que temos aqui é o seguinte: o retorno do fundo menos a taxa livre de risco de mercado, dividido pelo desvio padrão do fundo.</w:t>
      </w:r>
    </w:p>
    <w:p w14:paraId="526F676E" w14:textId="30B81A7A" w:rsidR="007D66C4" w:rsidRDefault="007D66C4" w:rsidP="007D66C4">
      <w:r>
        <w:t xml:space="preserve">Algumas conclusões importantes sobre o Índice Sharpe: </w:t>
      </w:r>
    </w:p>
    <w:p w14:paraId="22AEF63B" w14:textId="21DC87F3" w:rsidR="007D66C4" w:rsidRDefault="007D66C4" w:rsidP="007D66C4">
      <w:r>
        <w:rPr>
          <w:rFonts w:ascii="Segoe UI Symbol" w:hAnsi="Segoe UI Symbol" w:cs="Segoe UI Symbol"/>
        </w:rPr>
        <w:t>⯀</w:t>
      </w:r>
      <w:r>
        <w:t xml:space="preserve"> mede a relação risco retorno de um ativo (ou carteira); </w:t>
      </w:r>
    </w:p>
    <w:p w14:paraId="180B66D5" w14:textId="24582FA6" w:rsidR="007D66C4" w:rsidRDefault="007D66C4" w:rsidP="007D66C4">
      <w:r>
        <w:rPr>
          <w:rFonts w:ascii="Segoe UI Symbol" w:hAnsi="Segoe UI Symbol" w:cs="Segoe UI Symbol"/>
        </w:rPr>
        <w:t>⯀</w:t>
      </w:r>
      <w:r>
        <w:t xml:space="preserve"> quanto maior for o Índice Sharpe de um fundo, melhor será sua relação risco-retorno; </w:t>
      </w:r>
    </w:p>
    <w:p w14:paraId="01F23E63" w14:textId="6628B9E3" w:rsidR="007D66C4" w:rsidRDefault="007D66C4" w:rsidP="007D66C4">
      <w:r>
        <w:rPr>
          <w:rFonts w:ascii="Segoe UI Symbol" w:hAnsi="Segoe UI Symbol" w:cs="Segoe UI Symbol"/>
        </w:rPr>
        <w:t>⯀</w:t>
      </w:r>
      <w:r>
        <w:t xml:space="preserve"> para dois fundos que apresentam a mesma rentabilidade, terá maior Índice Sharpe aquele que apresentar menor risco; </w:t>
      </w:r>
    </w:p>
    <w:p w14:paraId="29B84762" w14:textId="4370175A" w:rsidR="007D66C4" w:rsidRDefault="007D66C4" w:rsidP="007D66C4">
      <w:r>
        <w:rPr>
          <w:rFonts w:ascii="Segoe UI Symbol" w:hAnsi="Segoe UI Symbol" w:cs="Segoe UI Symbol"/>
        </w:rPr>
        <w:t>⯀</w:t>
      </w:r>
      <w:r>
        <w:t xml:space="preserve"> para dois fundos que apresentam o mesmo risco, terá maior Índice Sharpe aquele que apresentar maior rentabilidade.</w:t>
      </w:r>
    </w:p>
    <w:p w14:paraId="5113AA48" w14:textId="3E3CA206" w:rsidR="007D66C4" w:rsidRDefault="007D66C4" w:rsidP="007D66C4">
      <w:r>
        <w:t xml:space="preserve">Índice de Treynor  </w:t>
      </w:r>
    </w:p>
    <w:p w14:paraId="7B6BB116" w14:textId="3720A136" w:rsidR="007D66C4" w:rsidRDefault="007D66C4" w:rsidP="007D66C4">
      <w:r>
        <w:t>Se você entendeu bem como funciona o Índice de Sharpe, vai ficar bem fácil entender como funciona o Índice de Treynor. Isso porque o Treynor tem exatamente a mesma função: mensurar a relação risco-retorno do Fundo de Investimento</w:t>
      </w:r>
    </w:p>
    <w:p w14:paraId="34FA04A9" w14:textId="79D57712" w:rsidR="007D66C4" w:rsidRDefault="007D66C4" w:rsidP="007D66C4">
      <w:r>
        <w:t>O que difere o Treynor do Sharpe é somente a medida de risco utilizada:</w:t>
      </w:r>
    </w:p>
    <w:p w14:paraId="0D45E14F" w14:textId="19E778DB" w:rsidR="007D66C4" w:rsidRDefault="007D66C4" w:rsidP="007D66C4">
      <w:r>
        <w:rPr>
          <w:noProof/>
        </w:rPr>
        <w:drawing>
          <wp:inline distT="0" distB="0" distL="0" distR="0" wp14:anchorId="7FB5EC4F" wp14:editId="1D87CECE">
            <wp:extent cx="1476375" cy="657225"/>
            <wp:effectExtent l="0" t="0" r="9525" b="952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76375" cy="657225"/>
                    </a:xfrm>
                    <a:prstGeom prst="rect">
                      <a:avLst/>
                    </a:prstGeom>
                    <a:noFill/>
                    <a:ln>
                      <a:noFill/>
                    </a:ln>
                  </pic:spPr>
                </pic:pic>
              </a:graphicData>
            </a:graphic>
          </wp:inline>
        </w:drawing>
      </w:r>
    </w:p>
    <w:p w14:paraId="60141CE2" w14:textId="77777777" w:rsidR="007D66C4" w:rsidRDefault="007D66C4" w:rsidP="007D66C4"/>
    <w:p w14:paraId="17100678" w14:textId="1F7FFBFE" w:rsidR="007D66C4" w:rsidRDefault="007D66C4" w:rsidP="007D66C4">
      <w:r>
        <w:lastRenderedPageBreak/>
        <w:t>Como você pode ver na fórmula acima, o IT (Índice de Treynor) utiliza o beta da carteira como medida de risco. Isso porque essa metodologia compreende que utilizar somente o risco sistemático da carteira seria mais eficiente do que utilizar o risco total, afinal o risco sistemático é o único risco do qual não conseguimos nos proteger</w:t>
      </w:r>
    </w:p>
    <w:p w14:paraId="6FAD10A1" w14:textId="0BF2FD2B" w:rsidR="007D66C4" w:rsidRDefault="007D66C4" w:rsidP="007D66C4">
      <w:r>
        <w:t xml:space="preserve">De um modo geral, podemos utilizar os conceitos do índice Sharpe para resumir esse indicador: </w:t>
      </w:r>
    </w:p>
    <w:p w14:paraId="59C2D9E9" w14:textId="03E70F73" w:rsidR="007D66C4" w:rsidRDefault="007D66C4" w:rsidP="007D66C4">
      <w:r>
        <w:rPr>
          <w:rFonts w:ascii="Segoe UI Symbol" w:hAnsi="Segoe UI Symbol" w:cs="Segoe UI Symbol"/>
        </w:rPr>
        <w:t>⯀</w:t>
      </w:r>
      <w:r>
        <w:t xml:space="preserve"> mede a relação risco retorno de um ativo (ou carteira); </w:t>
      </w:r>
    </w:p>
    <w:p w14:paraId="51D66CC6" w14:textId="5248646D" w:rsidR="007D66C4" w:rsidRDefault="007D66C4" w:rsidP="007D66C4">
      <w:r>
        <w:rPr>
          <w:rFonts w:ascii="Segoe UI Symbol" w:hAnsi="Segoe UI Symbol" w:cs="Segoe UI Symbol"/>
        </w:rPr>
        <w:t>⯀</w:t>
      </w:r>
      <w:r>
        <w:t xml:space="preserve"> quanto maior for o índice Treynor de um fundo, melhor será sua relação risco retorno;</w:t>
      </w:r>
    </w:p>
    <w:p w14:paraId="6C68D4A0" w14:textId="3E418589" w:rsidR="007D66C4" w:rsidRDefault="007D66C4" w:rsidP="007D66C4">
      <w:r>
        <w:rPr>
          <w:rFonts w:ascii="Segoe UI Symbol" w:hAnsi="Segoe UI Symbol" w:cs="Segoe UI Symbol"/>
        </w:rPr>
        <w:t>⯀</w:t>
      </w:r>
      <w:r>
        <w:t xml:space="preserve"> para dois fundos que apresentam a mesma rentabilidade, terá maior índice Treynor aquele que apresentar menor risco; </w:t>
      </w:r>
    </w:p>
    <w:p w14:paraId="0710CB4A" w14:textId="72ACADBC" w:rsidR="00956643" w:rsidRDefault="007D66C4" w:rsidP="007D66C4">
      <w:r>
        <w:rPr>
          <w:rFonts w:ascii="Segoe UI Symbol" w:hAnsi="Segoe UI Symbol" w:cs="Segoe UI Symbol"/>
        </w:rPr>
        <w:t>⯀</w:t>
      </w:r>
      <w:r>
        <w:t xml:space="preserve"> para dois fundos que apresentam o mesmo risco, terá maior índice Treynor aquele que apresentar maior rentabilidade</w:t>
      </w:r>
    </w:p>
    <w:p w14:paraId="659204BF" w14:textId="4F3DE089" w:rsidR="007D66C4" w:rsidRDefault="004D1535" w:rsidP="007D66C4">
      <w:r>
        <w:rPr>
          <w:noProof/>
        </w:rPr>
        <w:drawing>
          <wp:inline distT="0" distB="0" distL="0" distR="0" wp14:anchorId="296B618B" wp14:editId="3691F03B">
            <wp:extent cx="5400040" cy="2428875"/>
            <wp:effectExtent l="0" t="0" r="0" b="9525"/>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2428875"/>
                    </a:xfrm>
                    <a:prstGeom prst="rect">
                      <a:avLst/>
                    </a:prstGeom>
                    <a:noFill/>
                    <a:ln>
                      <a:noFill/>
                    </a:ln>
                  </pic:spPr>
                </pic:pic>
              </a:graphicData>
            </a:graphic>
          </wp:inline>
        </w:drawing>
      </w:r>
    </w:p>
    <w:p w14:paraId="13DBC01D" w14:textId="41777DD0" w:rsidR="004D1535" w:rsidRDefault="004D1535" w:rsidP="007D66C4">
      <w:r w:rsidRPr="004D1535">
        <w:t>Imunização, Convexidade, Ativo, Alavancagem, Risco de M. Externo, Variação Cambial</w:t>
      </w:r>
    </w:p>
    <w:p w14:paraId="022E0CF8" w14:textId="0CF2018D" w:rsidR="004D1535" w:rsidRDefault="004D1535" w:rsidP="004D1535">
      <w:r>
        <w:t xml:space="preserve">Imunização </w:t>
      </w:r>
    </w:p>
    <w:p w14:paraId="0A7C19F4" w14:textId="3B32373E" w:rsidR="004D1535" w:rsidRDefault="004D1535" w:rsidP="004D1535">
      <w:r>
        <w:t>O termo imunização significa construir uma carteira de títulos de forma a torná-la imune a variações nas taxas de juros</w:t>
      </w:r>
    </w:p>
    <w:p w14:paraId="4B6CB729" w14:textId="107E2822" w:rsidR="004D1535" w:rsidRDefault="004D1535" w:rsidP="004D1535">
      <w:r>
        <w:t>Para imunizar uma carteira ou posição, devemos primeiro encontrar a duration, pois a duration é uma ferramenta de hedge, que tem como objetivo medir a sensibilidade do ativo ou passivo em relação a taxa de juros.</w:t>
      </w:r>
    </w:p>
    <w:p w14:paraId="44E9CD9C" w14:textId="52D65553" w:rsidR="004D1535" w:rsidRDefault="004D1535" w:rsidP="004D1535">
      <w:r>
        <w:t>Essa medição é feita através da média ponderada entre as durations dos ativos e passivos do balanço, tudo com preços dados pelo mercado.</w:t>
      </w:r>
    </w:p>
    <w:p w14:paraId="037CF282" w14:textId="03943B1B" w:rsidR="004D1535" w:rsidRDefault="004D1535" w:rsidP="004D1535">
      <w:r>
        <w:t>Convexidade</w:t>
      </w:r>
    </w:p>
    <w:p w14:paraId="6B70072B" w14:textId="77777777" w:rsidR="004D1535" w:rsidRDefault="004D1535" w:rsidP="004D1535">
      <w:r>
        <w:t>Convexidade é o efeito de segunda ordem que descreve como a duration sofre alterações conforme muda a taxa de retorno</w:t>
      </w:r>
    </w:p>
    <w:p w14:paraId="43CFE153" w14:textId="77777777" w:rsidR="004D1535" w:rsidRDefault="004D1535" w:rsidP="004D1535"/>
    <w:p w14:paraId="4B4507AB" w14:textId="68AC2823" w:rsidR="004D1535" w:rsidRDefault="004D1535" w:rsidP="004D1535">
      <w:r>
        <w:lastRenderedPageBreak/>
        <w:t>Convexidade é uma característica desejável para a administração de carteira de ativos. Quanto maior ela for, maior será a proteção (hedge) contra aumentos de taxas de juros.</w:t>
      </w:r>
    </w:p>
    <w:p w14:paraId="7725DB89" w14:textId="2F8CC2CC" w:rsidR="004D1535" w:rsidRDefault="004D1535" w:rsidP="004D1535">
      <w:r>
        <w:t>Ativo</w:t>
      </w:r>
    </w:p>
    <w:p w14:paraId="536DB03D" w14:textId="4619DE28" w:rsidR="004D1535" w:rsidRDefault="004D1535" w:rsidP="004D1535">
      <w:r>
        <w:t>Ativo pode ser entendido como um bem com algum valor comercial, e que pode ser negociado entre duas partes. Um ativo pode ser uma ação, por exemplo, ou uma commodity, um Título Público Federal, um CDB; enfim, todo bem financeiro a ser negociado entre dois agentes.</w:t>
      </w:r>
    </w:p>
    <w:p w14:paraId="049EDE38" w14:textId="696C7A66" w:rsidR="004D1535" w:rsidRDefault="004D1535" w:rsidP="004D1535">
      <w:r>
        <w:t>Alavancagem</w:t>
      </w:r>
    </w:p>
    <w:p w14:paraId="1EAB80EE" w14:textId="01A07B0B" w:rsidR="004D1535" w:rsidRDefault="004D1535" w:rsidP="004D1535">
      <w:r>
        <w:t>Um fundo é considerado alavancado sempre que o risco de perda for maior que zero, desconsiderando o risco de crédito, que ocorre em caso de inadimplência de um título</w:t>
      </w:r>
    </w:p>
    <w:p w14:paraId="5F1C2ACD" w14:textId="049CFC43" w:rsidR="004D1535" w:rsidRDefault="004D1535" w:rsidP="004D1535">
      <w:r>
        <w:t xml:space="preserve">Fundos com gestão ativa podem fazer operações no mercado de ações ou derivativos, de modo a aumentar o risco do fundo, em </w:t>
      </w:r>
      <w:proofErr w:type="gramStart"/>
      <w:r>
        <w:t>um operação</w:t>
      </w:r>
      <w:proofErr w:type="gramEnd"/>
      <w:r>
        <w:t xml:space="preserve"> de derivativos que o fundo recorra a uma operação de venda de ações a descoberto, apostando na baixa do preço da ação, caso o valor oscilou positivamente o fundo terá prejuízo na operação. </w:t>
      </w:r>
    </w:p>
    <w:p w14:paraId="42DCAE86" w14:textId="158650B7" w:rsidR="004D1535" w:rsidRDefault="004D1535" w:rsidP="004D1535">
      <w:r>
        <w:t xml:space="preserve">Risco Mercado Externo </w:t>
      </w:r>
    </w:p>
    <w:p w14:paraId="16A199F1" w14:textId="5CD32832" w:rsidR="004D1535" w:rsidRDefault="004D1535" w:rsidP="004D1535">
      <w:r>
        <w:t>De acordo com o próprio CMN (Conselho Monetário Nacional) em sua resolução 3467 a definição de risco é a possibilidade de ocorrência de perdas resultante das flutuações nos valores de mercado das posições.</w:t>
      </w:r>
    </w:p>
    <w:p w14:paraId="743E70DE" w14:textId="2BB9EB13" w:rsidR="004D1535" w:rsidRDefault="004D1535" w:rsidP="004D1535">
      <w:r>
        <w:t xml:space="preserve">Nesta definição estão incluídos fatores como taxa de juros, preço das ações, preço das commodities e principalmente quando se fala de mercado externo o risco da variação cambial. </w:t>
      </w:r>
    </w:p>
    <w:p w14:paraId="45F56A83" w14:textId="30097FF9" w:rsidR="004D1535" w:rsidRDefault="004D1535" w:rsidP="004D1535">
      <w:r>
        <w:t>Risco de Variação Cambial</w:t>
      </w:r>
    </w:p>
    <w:p w14:paraId="7BCD8EBE" w14:textId="777F480C" w:rsidR="004D1535" w:rsidRDefault="004D1535" w:rsidP="004D1535">
      <w:r>
        <w:t>Quando um investidor possui recursos no mercado externo o valor do seu patrimônio pode sofrer oscilações devido a variação da taxa de câmbio.</w:t>
      </w:r>
    </w:p>
    <w:p w14:paraId="061B1B11" w14:textId="68FBF755" w:rsidR="004D1535" w:rsidRDefault="004D1535" w:rsidP="004D1535">
      <w:r>
        <w:t>Por exemplo: o chamado IED “Investimento Estrangeiro Direto” ou mesmo indireto (aplicação através de ações e títulos) pode sofrer perdas em moeda corrente nacional mesmo com a obtenção de retornos positivos. Isso pode ocorrer devido a uma variação negativa na flutuação de câmbio. Isso seria o risco de variação cambial.</w:t>
      </w:r>
    </w:p>
    <w:p w14:paraId="26DF073B" w14:textId="254C6534" w:rsidR="004D1535" w:rsidRDefault="004D1535" w:rsidP="004D1535">
      <w:r>
        <w:t xml:space="preserve">Podemos utilizar os meses de </w:t>
      </w:r>
      <w:proofErr w:type="gramStart"/>
      <w:r>
        <w:t>Janeiro</w:t>
      </w:r>
      <w:proofErr w:type="gramEnd"/>
      <w:r>
        <w:t xml:space="preserve"> a Agosto de 2016 como exemplo da importância do risco cambial. Nos oito primeiros meses de 2016 o dólar, principal unidade monetária no mercado internacional, teve uma desvalorização de quase 20% frente </w:t>
      </w:r>
      <w:proofErr w:type="gramStart"/>
      <w:r>
        <w:t>ao</w:t>
      </w:r>
      <w:proofErr w:type="gramEnd"/>
      <w:r>
        <w:t xml:space="preserve"> real. Nestes termos, para que um investidor brasileiro tenha um retorno positivo em sua aplicação, seria necessária uma rentabilidade superior a 20%.</w:t>
      </w:r>
    </w:p>
    <w:p w14:paraId="0B3C3804" w14:textId="7ED32FE3" w:rsidR="004D1535" w:rsidRDefault="004D1535" w:rsidP="004D1535">
      <w:r>
        <w:t xml:space="preserve">Principais Riscos de Mercado Externo </w:t>
      </w:r>
    </w:p>
    <w:p w14:paraId="7B488976" w14:textId="06E119EB" w:rsidR="004D1535" w:rsidRDefault="004D1535" w:rsidP="004D1535">
      <w:r>
        <w:t xml:space="preserve">Risco Operacional: é muito comum com operações externas uma vez que o investidor fica suscetível a falhas nos mais diversos sistemas de pagamentos. Uma simples indisponibilidade nos serviços de internet, corretora de câmbio ou mesmo banco pode acarretar perdas. </w:t>
      </w:r>
    </w:p>
    <w:p w14:paraId="28CE6F0D" w14:textId="77777777" w:rsidR="004D1535" w:rsidRDefault="004D1535" w:rsidP="004D1535">
      <w:r>
        <w:t xml:space="preserve">Risco Legal: Este termo foi muito falado durante o processo de impeachment da presidente Dilma em 2016. Este tipo de risco está relacionado a confiabilidade jurídica de um país, ou seja, o quanto a legislação deste é obedecida ou não. </w:t>
      </w:r>
    </w:p>
    <w:p w14:paraId="128710E1" w14:textId="77777777" w:rsidR="004D1535" w:rsidRDefault="004D1535" w:rsidP="004D1535"/>
    <w:p w14:paraId="12C0925F" w14:textId="04AC08FE" w:rsidR="004D1535" w:rsidRDefault="004D1535" w:rsidP="004D1535">
      <w:r>
        <w:lastRenderedPageBreak/>
        <w:t>Risco de Mercado: este é o risco da volatilidade. Este tipo de risco é muito comum no mercado de renda variável onde os preços sofrem constante oscilação. Lembre-se que o risco de mercado também está presente na renda fixa. Quando ocorre uma alteração na taxa básica de juros da economia (SELIC) ocorre uma grande volatilidade no preço dos títulos públicos.</w:t>
      </w:r>
    </w:p>
    <w:p w14:paraId="2A3919EA" w14:textId="691145B6" w:rsidR="004D1535" w:rsidRDefault="004D1535" w:rsidP="004D1535">
      <w:r>
        <w:t>Outros Riscos: Existe uma infinidade de riscos. No Brasil muito se fala também sobre o Risco Jurídico e Risco Fiscal onde um decreto governamental pode alterar a legislação sobre determinado investimento acarretando prejuízo aos investidores</w:t>
      </w:r>
    </w:p>
    <w:p w14:paraId="0CF720E1" w14:textId="56AC39CC" w:rsidR="004D1535" w:rsidRDefault="004D1488" w:rsidP="004D1535">
      <w:r w:rsidRPr="004D1488">
        <w:t>Duration de Macaulay e Risco Da Taxa De Juros</w:t>
      </w:r>
    </w:p>
    <w:p w14:paraId="4CCF8E41" w14:textId="1B89F800" w:rsidR="004D1488" w:rsidRDefault="004D1488" w:rsidP="004D1488">
      <w:r>
        <w:t>Risco da taxa de juros</w:t>
      </w:r>
    </w:p>
    <w:p w14:paraId="4AF0DCA5" w14:textId="16FBE688" w:rsidR="004D1488" w:rsidRDefault="004D1488" w:rsidP="004D1488">
      <w:r>
        <w:t>Antes de falarmos da Duration de Macaulay, vou apresentar rapidamente o conceito de risco da taxa de juros</w:t>
      </w:r>
    </w:p>
    <w:p w14:paraId="5C64E836" w14:textId="58C7A14F" w:rsidR="004D1488" w:rsidRDefault="004D1488" w:rsidP="004D1488">
      <w:r>
        <w:t>O risco da taxa de juros está associado ao risco de alteração na taxa básica de juros da economia, a Taxa Selic.</w:t>
      </w:r>
    </w:p>
    <w:p w14:paraId="30EAE4B4" w14:textId="02EEBB09" w:rsidR="004D1488" w:rsidRDefault="004D1488" w:rsidP="004D1488">
      <w:r>
        <w:t xml:space="preserve">Esse risco é percebido quando, por exemplo, um investidor investe em um CDB prefixado e assume o risco </w:t>
      </w:r>
      <w:proofErr w:type="gramStart"/>
      <w:r>
        <w:t>da</w:t>
      </w:r>
      <w:proofErr w:type="gramEnd"/>
      <w:r>
        <w:t xml:space="preserve"> taxa de juros subir, de forma que seu investimento terá um rendimento menor em relação a taxa de juros vigente. </w:t>
      </w:r>
    </w:p>
    <w:p w14:paraId="4C87234F" w14:textId="544F57F9" w:rsidR="004D1488" w:rsidRDefault="004D1488" w:rsidP="004D1488">
      <w:r>
        <w:t xml:space="preserve">Duration de Macaulay  </w:t>
      </w:r>
    </w:p>
    <w:p w14:paraId="164D3DBF" w14:textId="3CD1B667" w:rsidR="004D1488" w:rsidRDefault="004D1488" w:rsidP="004D1488">
      <w:r>
        <w:t>A Duration funciona como termômetro que mede o quão sensível um ativo ou passivo é em relação a taxa de juros.</w:t>
      </w:r>
    </w:p>
    <w:p w14:paraId="27D995A6" w14:textId="5CD1E640" w:rsidR="004D1488" w:rsidRDefault="004D1488" w:rsidP="004D1488">
      <w:r>
        <w:t>A tradução de duration nos ajuda a entender que estamos falando de duração de um título, certo? A gente sabe que um título tem um vencimento e que esse vencimento pode ser confundido com a duração desse papel. O ponto é que um título que paga cupom periódico ao investidor tem uma duration menor do que o vencimento do papel.</w:t>
      </w:r>
    </w:p>
    <w:p w14:paraId="24EFDD85" w14:textId="1F09FA3E" w:rsidR="004D1488" w:rsidRDefault="004D1488" w:rsidP="004D1488">
      <w:r>
        <w:t xml:space="preserve">Vamos fazer algumas analogias para entendermos isso de uma forma mais simples: </w:t>
      </w:r>
    </w:p>
    <w:p w14:paraId="478BBDDE" w14:textId="7B7B1B42" w:rsidR="004D1488" w:rsidRDefault="004D1488" w:rsidP="004D1488">
      <w:r>
        <w:t>imagine que você tenha emprestado a mim R$ 10.000,00. Preciso te pagar em dois anos esse valor acrescido de R$ 2.000,00. Nesse caso, “durante” dois anos 100% do seu dinheiro estará em meu poder. Por isso, podemos dizer que a duration desse título é de 2 anos.</w:t>
      </w:r>
    </w:p>
    <w:p w14:paraId="2BDA2C00" w14:textId="26622AA0" w:rsidR="004D1488" w:rsidRDefault="004D1488" w:rsidP="004D1488">
      <w:r>
        <w:t>Agora imagine que eu tome os mesmos R$ 10.000,00 com a mesma condição de juros, porém com promessa de pagamento de R$ 500,00 por mês durante os 2 anos. Faz sentido para você que eu não terei R$ 12.000,00 durante todo o período e que você também vai receber os recursos antes?</w:t>
      </w:r>
    </w:p>
    <w:p w14:paraId="292489D1" w14:textId="514A31B7" w:rsidR="004D1488" w:rsidRDefault="004D1488" w:rsidP="004D1488">
      <w:r>
        <w:t>Assim assumimos que, devido a você ir recebendo durante o período, o seu risco é diminuído. Faz sentido?</w:t>
      </w:r>
    </w:p>
    <w:p w14:paraId="051EEFE1" w14:textId="6A40C172" w:rsidR="004D1488" w:rsidRDefault="004D1488" w:rsidP="004D1488">
      <w:r>
        <w:t>A duration serve justamente para que possamos calcular o prazo médio de recebimento de um ativo (ou uma carteira) com o objetivo de entender o quanto uma carteira com títulos de Renda Fixa Pré Fixados pode estar exposta ao risco de mercado.</w:t>
      </w:r>
    </w:p>
    <w:p w14:paraId="0E2B77A7" w14:textId="129E9EDA" w:rsidR="004D1488" w:rsidRDefault="004D1488" w:rsidP="004D1488">
      <w:r>
        <w:t>Lembra que, nos módulos anteriores, a gente falou sobre o PU de um título de Renda Fixa e sua respectiva marcação a mercado? Um título Pré Fixado está sempre sujeito a mudança de preços em função da mudança de taxa de juros de mercado e quanto maior for o prazo deste título, maior será sua exposição a esse risco.</w:t>
      </w:r>
    </w:p>
    <w:p w14:paraId="11C019B8" w14:textId="23266287" w:rsidR="004D1488" w:rsidRDefault="004D1488" w:rsidP="004D1488">
      <w:r>
        <w:lastRenderedPageBreak/>
        <w:t>A duration nos permite, justamente, saber o prazo correto de um título que paga cupom. Já esse título, que “antecipa” pagamentos ao investidor, terá uma duration menor que o prazo de vencimento.</w:t>
      </w:r>
    </w:p>
    <w:p w14:paraId="5E559437" w14:textId="6EC1FD7C" w:rsidR="004D1488" w:rsidRDefault="004D1488" w:rsidP="004D1488">
      <w:r>
        <w:t>Em resumo: um título zero cupom terá sua duration igual ao seu prazo de vencimento; um título com cupom terá sua duration menor que o prazo de vencimento do papel.</w:t>
      </w:r>
    </w:p>
    <w:p w14:paraId="41A5F714" w14:textId="4944C839" w:rsidR="004D1488" w:rsidRDefault="004D1488" w:rsidP="004D1488">
      <w:r>
        <w:t>Assim, a título de comparação, uma LTN que tem o mesmo vencimento que um NTN-F terá uma duration maior e, por isso, uma exposição ao risco de mercado também maior</w:t>
      </w:r>
    </w:p>
    <w:p w14:paraId="24CCABD4" w14:textId="2B6127E8" w:rsidR="004D1488" w:rsidRDefault="004D1488" w:rsidP="004D1488">
      <w:r>
        <w:t xml:space="preserve">Duration de Macaulay Modificada </w:t>
      </w:r>
    </w:p>
    <w:p w14:paraId="2832296B" w14:textId="7D842C7C" w:rsidR="004D1488" w:rsidRDefault="004D1488" w:rsidP="004D1488">
      <w:r>
        <w:t>Uma evolução da Duration de Macaulay é a duration modificada. Uma vez que a Duration de Macaulay consegue calcular o prazo médio de recebimento de um título ou de uma carteira, a duration modificada consegue projetar o quanto um título, ou uma carteira, estão sensíveis às mudanças nas taxas de juros de mercado.</w:t>
      </w:r>
    </w:p>
    <w:p w14:paraId="52AB9A9D" w14:textId="47CFCB87" w:rsidR="004D1488" w:rsidRDefault="004D1488" w:rsidP="004D1488">
      <w:r>
        <w:rPr>
          <w:noProof/>
        </w:rPr>
        <w:drawing>
          <wp:inline distT="0" distB="0" distL="0" distR="0" wp14:anchorId="4BAA8642" wp14:editId="1A4D7B0F">
            <wp:extent cx="5400040" cy="203835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00040" cy="2038350"/>
                    </a:xfrm>
                    <a:prstGeom prst="rect">
                      <a:avLst/>
                    </a:prstGeom>
                    <a:noFill/>
                    <a:ln>
                      <a:noFill/>
                    </a:ln>
                  </pic:spPr>
                </pic:pic>
              </a:graphicData>
            </a:graphic>
          </wp:inline>
        </w:drawing>
      </w:r>
    </w:p>
    <w:p w14:paraId="09BFD2D6" w14:textId="4EAE8718" w:rsidR="004D1488" w:rsidRDefault="00A2682A" w:rsidP="004D1488">
      <w:r w:rsidRPr="00A2682A">
        <w:t>Duration Modificada</w:t>
      </w:r>
    </w:p>
    <w:p w14:paraId="07F29A3F" w14:textId="77151D75" w:rsidR="00A2682A" w:rsidRDefault="00A2682A" w:rsidP="00A2682A">
      <w:r>
        <w:t>Gente, já falamos aqui sobre Duration, mas essa vai ser um pouco diferente, sabe por quê? Porque agora iremos falar sobre o que é Duration Modificada e como encontrá-la. Você sabe como é?</w:t>
      </w:r>
    </w:p>
    <w:p w14:paraId="7A268567" w14:textId="0017F5FD" w:rsidR="00A2682A" w:rsidRDefault="00A2682A" w:rsidP="00A2682A">
      <w:r>
        <w:t>Então, segue aqui comigo que eu vou te explicar!</w:t>
      </w:r>
    </w:p>
    <w:p w14:paraId="3FFAF5B4" w14:textId="32448E5A" w:rsidR="00A2682A" w:rsidRDefault="00A2682A" w:rsidP="00A2682A">
      <w:r>
        <w:t>O que é Duration Modificada?</w:t>
      </w:r>
    </w:p>
    <w:p w14:paraId="2FD90C76" w14:textId="0B15E951" w:rsidR="00A2682A" w:rsidRDefault="00A2682A" w:rsidP="00A2682A">
      <w:r>
        <w:t>A Duration Modificada nos mostra que para cada percentual alterado na taxa exigida pelo investidor na Yield to Maturity, temos uma variação no preço do ativo.</w:t>
      </w:r>
    </w:p>
    <w:p w14:paraId="18818DE5" w14:textId="62A488A3" w:rsidR="00A2682A" w:rsidRDefault="00A2682A" w:rsidP="00A2682A">
      <w:r>
        <w:t>E para calculá-la é muito simples:</w:t>
      </w:r>
    </w:p>
    <w:p w14:paraId="5D1AC89A" w14:textId="2E21154A" w:rsidR="00A2682A" w:rsidRDefault="00A2682A" w:rsidP="00A2682A">
      <w:r>
        <w:rPr>
          <w:noProof/>
        </w:rPr>
        <w:drawing>
          <wp:inline distT="0" distB="0" distL="0" distR="0" wp14:anchorId="008A08A4" wp14:editId="717EF244">
            <wp:extent cx="1847850" cy="704156"/>
            <wp:effectExtent l="0" t="0" r="0" b="127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63183" cy="709999"/>
                    </a:xfrm>
                    <a:prstGeom prst="rect">
                      <a:avLst/>
                    </a:prstGeom>
                    <a:noFill/>
                    <a:ln>
                      <a:noFill/>
                    </a:ln>
                  </pic:spPr>
                </pic:pic>
              </a:graphicData>
            </a:graphic>
          </wp:inline>
        </w:drawing>
      </w:r>
    </w:p>
    <w:p w14:paraId="440CEC49" w14:textId="77777777" w:rsidR="00A2682A" w:rsidRDefault="00A2682A" w:rsidP="00A2682A">
      <w:r>
        <w:t>Onde:</w:t>
      </w:r>
    </w:p>
    <w:p w14:paraId="0F9B56FA" w14:textId="0638D9A4" w:rsidR="00A2682A" w:rsidRDefault="00A2682A" w:rsidP="00A2682A">
      <w:r>
        <w:t>DM = Duration Modificada</w:t>
      </w:r>
    </w:p>
    <w:p w14:paraId="5E5EDD51" w14:textId="4E022592" w:rsidR="00A2682A" w:rsidRDefault="00A2682A" w:rsidP="00A2682A">
      <w:r>
        <w:t>K = Nova taxa de juros</w:t>
      </w:r>
    </w:p>
    <w:p w14:paraId="43682655" w14:textId="4D2D3227" w:rsidR="00A2682A" w:rsidRDefault="00A2682A" w:rsidP="00A2682A">
      <w:r>
        <w:rPr>
          <w:noProof/>
        </w:rPr>
        <w:lastRenderedPageBreak/>
        <w:drawing>
          <wp:inline distT="0" distB="0" distL="0" distR="0" wp14:anchorId="5C92263D" wp14:editId="775FDA1D">
            <wp:extent cx="5391150" cy="2333625"/>
            <wp:effectExtent l="0" t="0" r="0" b="952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1150" cy="2333625"/>
                    </a:xfrm>
                    <a:prstGeom prst="rect">
                      <a:avLst/>
                    </a:prstGeom>
                    <a:noFill/>
                    <a:ln>
                      <a:noFill/>
                    </a:ln>
                  </pic:spPr>
                </pic:pic>
              </a:graphicData>
            </a:graphic>
          </wp:inline>
        </w:drawing>
      </w:r>
    </w:p>
    <w:p w14:paraId="59E9E2F9" w14:textId="4F8038BA" w:rsidR="00EA3299" w:rsidRDefault="00C92D27" w:rsidP="00A2682A">
      <w:r w:rsidRPr="00C92D27">
        <w:t>Riscos de Mercado Externo</w:t>
      </w:r>
    </w:p>
    <w:p w14:paraId="050D074C" w14:textId="5D830C66" w:rsidR="00C92D27" w:rsidRDefault="00C92D27" w:rsidP="00A2682A">
      <w:r>
        <w:rPr>
          <w:noProof/>
        </w:rPr>
        <w:drawing>
          <wp:inline distT="0" distB="0" distL="0" distR="0" wp14:anchorId="66FE9F6E" wp14:editId="5CDD789F">
            <wp:extent cx="5391150" cy="259080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150" cy="2590800"/>
                    </a:xfrm>
                    <a:prstGeom prst="rect">
                      <a:avLst/>
                    </a:prstGeom>
                    <a:noFill/>
                    <a:ln>
                      <a:noFill/>
                    </a:ln>
                  </pic:spPr>
                </pic:pic>
              </a:graphicData>
            </a:graphic>
          </wp:inline>
        </w:drawing>
      </w:r>
    </w:p>
    <w:p w14:paraId="6DB2D91E" w14:textId="77777777" w:rsidR="00885A92" w:rsidRPr="00885A92" w:rsidRDefault="00885A92" w:rsidP="00885A92">
      <w:pPr>
        <w:rPr>
          <w:rFonts w:eastAsia="Times New Roman" w:cs="Times New Roman"/>
        </w:rPr>
      </w:pPr>
      <w:r w:rsidRPr="00885A92">
        <w:rPr>
          <w:rFonts w:eastAsia="Times New Roman" w:cs="Times New Roman"/>
        </w:rPr>
        <w:t>RATING</w:t>
      </w:r>
    </w:p>
    <w:p w14:paraId="01403C47" w14:textId="77777777" w:rsidR="00885A92" w:rsidRPr="00885A92" w:rsidRDefault="00885A92" w:rsidP="00885A92">
      <w:pPr>
        <w:rPr>
          <w:rFonts w:eastAsia="Times New Roman" w:cs="Times New Roman"/>
        </w:rPr>
      </w:pPr>
      <w:r w:rsidRPr="00885A92">
        <w:rPr>
          <w:rFonts w:eastAsia="Times New Roman" w:cs="Times New Roman"/>
        </w:rPr>
        <w:t>O Rating é uma “nota” que as agências classificadoras de risco imprimem a um título emitido no mercado. A agência de risco leva em consideração a situação financeira do emissor e sua capacidade de honrar suas obrigações financeiras integralmente e no prazo determinado. Quanto mais alta for a nota, menos arriscado é o título e, por consequência menor será o retorno exigido pelo investidor.</w:t>
      </w:r>
    </w:p>
    <w:p w14:paraId="18552452" w14:textId="77777777" w:rsidR="00885A92" w:rsidRPr="00885A92" w:rsidRDefault="00885A92" w:rsidP="00885A92">
      <w:pPr>
        <w:rPr>
          <w:rFonts w:eastAsia="Times New Roman" w:cs="Times New Roman"/>
        </w:rPr>
      </w:pPr>
      <w:r w:rsidRPr="00885A92">
        <w:rPr>
          <w:rFonts w:eastAsia="Times New Roman" w:cs="Times New Roman"/>
        </w:rPr>
        <w:t>As agências classificadoras, hoje são 3:</w:t>
      </w:r>
    </w:p>
    <w:p w14:paraId="155F1DEF" w14:textId="77777777" w:rsidR="00885A92" w:rsidRPr="00885A92" w:rsidRDefault="00885A92" w:rsidP="00885A92">
      <w:pPr>
        <w:rPr>
          <w:rFonts w:eastAsia="Times New Roman" w:cs="Times New Roman"/>
        </w:rPr>
      </w:pPr>
      <w:r w:rsidRPr="00885A92">
        <w:rPr>
          <w:rFonts w:eastAsia="Times New Roman" w:cs="Times New Roman"/>
        </w:rPr>
        <w:t xml:space="preserve">1. Moodys; </w:t>
      </w:r>
    </w:p>
    <w:p w14:paraId="7D0C0504" w14:textId="77777777" w:rsidR="00885A92" w:rsidRPr="00885A92" w:rsidRDefault="00885A92" w:rsidP="00885A92">
      <w:pPr>
        <w:rPr>
          <w:rFonts w:eastAsia="Times New Roman" w:cs="Times New Roman"/>
        </w:rPr>
      </w:pPr>
      <w:r w:rsidRPr="00885A92">
        <w:rPr>
          <w:rFonts w:eastAsia="Times New Roman" w:cs="Times New Roman"/>
        </w:rPr>
        <w:t xml:space="preserve">2. Standard &amp; Poor’s; </w:t>
      </w:r>
    </w:p>
    <w:p w14:paraId="512972EF" w14:textId="77777777" w:rsidR="00885A92" w:rsidRPr="00885A92" w:rsidRDefault="00885A92" w:rsidP="00885A92">
      <w:pPr>
        <w:rPr>
          <w:rFonts w:eastAsia="Times New Roman" w:cs="Times New Roman"/>
        </w:rPr>
      </w:pPr>
      <w:r w:rsidRPr="00885A92">
        <w:rPr>
          <w:rFonts w:eastAsia="Times New Roman" w:cs="Times New Roman"/>
        </w:rPr>
        <w:t>3. Fitch;</w:t>
      </w:r>
    </w:p>
    <w:p w14:paraId="3E2B2273" w14:textId="77777777" w:rsidR="00885A92" w:rsidRPr="00885A92" w:rsidRDefault="00885A92" w:rsidP="00885A92">
      <w:pPr>
        <w:rPr>
          <w:rFonts w:eastAsia="Times New Roman" w:cs="Times New Roman"/>
        </w:rPr>
      </w:pPr>
      <w:r w:rsidRPr="00885A92">
        <w:rPr>
          <w:rFonts w:eastAsia="Times New Roman" w:cs="Times New Roman"/>
        </w:rPr>
        <w:t xml:space="preserve">Embora </w:t>
      </w:r>
      <w:proofErr w:type="gramStart"/>
      <w:r w:rsidRPr="00885A92">
        <w:rPr>
          <w:rFonts w:eastAsia="Times New Roman" w:cs="Times New Roman"/>
        </w:rPr>
        <w:t>a metodologia de análise destas empresas sejam</w:t>
      </w:r>
      <w:proofErr w:type="gramEnd"/>
      <w:r w:rsidRPr="00885A92">
        <w:rPr>
          <w:rFonts w:eastAsia="Times New Roman" w:cs="Times New Roman"/>
        </w:rPr>
        <w:t xml:space="preserve"> diferentes, podemos afirmar que seus resultados são bastante semelhantes. As notas de um emissor vão de A a D. Havendo variação entre uma nota e outra e um emissor e outro.</w:t>
      </w:r>
    </w:p>
    <w:p w14:paraId="17D577A3" w14:textId="3AF71A09" w:rsidR="00885A92" w:rsidRPr="00885A92" w:rsidRDefault="00885A92" w:rsidP="00885A92">
      <w:pPr>
        <w:rPr>
          <w:rFonts w:eastAsia="Times New Roman" w:cs="Times New Roman"/>
        </w:rPr>
      </w:pPr>
      <w:r w:rsidRPr="00885A92">
        <w:rPr>
          <w:rFonts w:eastAsia="Times New Roman" w:cs="Times New Roman"/>
          <w:noProof/>
        </w:rPr>
        <w:lastRenderedPageBreak/>
        <w:drawing>
          <wp:inline distT="0" distB="0" distL="0" distR="0" wp14:anchorId="18A01FC2" wp14:editId="46300330">
            <wp:extent cx="5362575" cy="4572000"/>
            <wp:effectExtent l="0" t="0" r="9525" b="0"/>
            <wp:docPr id="31" name="Imagem 31"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m 31" descr="Tabela&#10;&#10;Descrição gerada automa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62575" cy="4572000"/>
                    </a:xfrm>
                    <a:prstGeom prst="rect">
                      <a:avLst/>
                    </a:prstGeom>
                    <a:noFill/>
                    <a:ln>
                      <a:noFill/>
                    </a:ln>
                  </pic:spPr>
                </pic:pic>
              </a:graphicData>
            </a:graphic>
          </wp:inline>
        </w:drawing>
      </w:r>
    </w:p>
    <w:p w14:paraId="735B643B" w14:textId="27461552" w:rsidR="00885A92" w:rsidRPr="00885A92" w:rsidRDefault="00885A92" w:rsidP="00885A92">
      <w:pPr>
        <w:rPr>
          <w:rFonts w:eastAsia="Times New Roman" w:cs="Times New Roman"/>
        </w:rPr>
      </w:pPr>
      <w:r w:rsidRPr="00885A92">
        <w:rPr>
          <w:rFonts w:eastAsia="Times New Roman" w:cs="Times New Roman"/>
          <w:noProof/>
        </w:rPr>
        <w:drawing>
          <wp:inline distT="0" distB="0" distL="0" distR="0" wp14:anchorId="51EF16E3" wp14:editId="7607E0C0">
            <wp:extent cx="5381625" cy="2076450"/>
            <wp:effectExtent l="0" t="0" r="9525" b="0"/>
            <wp:docPr id="30" name="Imagem 30" descr="Diagrama,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m 30" descr="Diagrama, Linha do tempo&#10;&#10;Descrição gerada automa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81625" cy="2076450"/>
                    </a:xfrm>
                    <a:prstGeom prst="rect">
                      <a:avLst/>
                    </a:prstGeom>
                    <a:noFill/>
                    <a:ln>
                      <a:noFill/>
                    </a:ln>
                  </pic:spPr>
                </pic:pic>
              </a:graphicData>
            </a:graphic>
          </wp:inline>
        </w:drawing>
      </w:r>
    </w:p>
    <w:p w14:paraId="1421183C" w14:textId="77777777" w:rsidR="00885A92" w:rsidRPr="00885A92" w:rsidRDefault="00885A92" w:rsidP="00885A92">
      <w:pPr>
        <w:rPr>
          <w:rFonts w:eastAsia="Times New Roman" w:cs="Times New Roman"/>
        </w:rPr>
      </w:pPr>
      <w:r w:rsidRPr="00885A92">
        <w:rPr>
          <w:rFonts w:eastAsia="Times New Roman" w:cs="Times New Roman"/>
        </w:rPr>
        <w:t>Coeficiente Beta(β)</w:t>
      </w:r>
    </w:p>
    <w:p w14:paraId="54AB5F62" w14:textId="77777777" w:rsidR="00885A92" w:rsidRPr="00885A92" w:rsidRDefault="00885A92" w:rsidP="00885A92">
      <w:pPr>
        <w:rPr>
          <w:rFonts w:eastAsia="Times New Roman" w:cs="Times New Roman"/>
        </w:rPr>
      </w:pPr>
      <w:r w:rsidRPr="00885A92">
        <w:rPr>
          <w:rFonts w:eastAsia="Times New Roman" w:cs="Times New Roman"/>
        </w:rPr>
        <w:t>Lá atrás, na Grécia Antiga, acho que ninguém imaginou que a segunda letra do alfabeto helenístico seria usada em uma apostila de CPA-20. Mas fazer o quê?</w:t>
      </w:r>
    </w:p>
    <w:p w14:paraId="4D77052C" w14:textId="77777777" w:rsidR="00885A92" w:rsidRPr="00885A92" w:rsidRDefault="00885A92" w:rsidP="00885A92">
      <w:pPr>
        <w:rPr>
          <w:rFonts w:eastAsia="Times New Roman" w:cs="Times New Roman"/>
        </w:rPr>
      </w:pPr>
      <w:r w:rsidRPr="00885A92">
        <w:rPr>
          <w:rFonts w:eastAsia="Times New Roman" w:cs="Times New Roman"/>
        </w:rPr>
        <w:t>O Índice Beta é um indicador que mede a sensibilidade de um ativo em relação ao comportamento de uma carteira que represente o mercado. É a relação entre a variação do retorno de uma ação (ativo) e o Ibovespa (mercado), por exemplo</w:t>
      </w:r>
    </w:p>
    <w:p w14:paraId="6A0E4944" w14:textId="77777777" w:rsidR="00885A92" w:rsidRPr="00885A92" w:rsidRDefault="00885A92" w:rsidP="00885A92">
      <w:pPr>
        <w:rPr>
          <w:rFonts w:eastAsia="Times New Roman" w:cs="Times New Roman"/>
        </w:rPr>
      </w:pPr>
      <w:r w:rsidRPr="00885A92">
        <w:rPr>
          <w:rFonts w:eastAsia="Times New Roman" w:cs="Times New Roman"/>
        </w:rPr>
        <w:t>Portanto, o Índice Beta é uma medida do risco que um investidor está exposto ao investir em um ativo em particular em comparação com o mercado como um todo</w:t>
      </w:r>
    </w:p>
    <w:p w14:paraId="411D9F34" w14:textId="77777777" w:rsidR="00885A92" w:rsidRPr="00885A92" w:rsidRDefault="00885A92" w:rsidP="00885A92">
      <w:pPr>
        <w:rPr>
          <w:rFonts w:eastAsia="Times New Roman" w:cs="Times New Roman"/>
        </w:rPr>
      </w:pPr>
      <w:r w:rsidRPr="00885A92">
        <w:rPr>
          <w:rFonts w:eastAsia="Times New Roman" w:cs="Times New Roman"/>
        </w:rPr>
        <w:lastRenderedPageBreak/>
        <w:t>Para calcular o beta de uma carteira ou de uma ação temos de lançar mão do nosso conhecimento estatístico:</w:t>
      </w:r>
    </w:p>
    <w:p w14:paraId="28715E24" w14:textId="35C917DA" w:rsidR="00885A92" w:rsidRPr="00885A92" w:rsidRDefault="00885A92" w:rsidP="00885A92">
      <w:pPr>
        <w:rPr>
          <w:rFonts w:eastAsia="Times New Roman" w:cs="Times New Roman"/>
        </w:rPr>
      </w:pPr>
      <w:r w:rsidRPr="00885A92">
        <w:rPr>
          <w:rFonts w:eastAsia="Times New Roman" w:cs="Times New Roman"/>
          <w:noProof/>
        </w:rPr>
        <w:drawing>
          <wp:inline distT="0" distB="0" distL="0" distR="0" wp14:anchorId="5C4DF242" wp14:editId="100F4B51">
            <wp:extent cx="1562100" cy="581025"/>
            <wp:effectExtent l="0" t="0" r="0" b="9525"/>
            <wp:docPr id="29" name="Imagem 29"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m 29" descr="Texto&#10;&#10;Descrição gerada automaticamente com confiança médi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62100" cy="581025"/>
                    </a:xfrm>
                    <a:prstGeom prst="rect">
                      <a:avLst/>
                    </a:prstGeom>
                    <a:noFill/>
                    <a:ln>
                      <a:noFill/>
                    </a:ln>
                  </pic:spPr>
                </pic:pic>
              </a:graphicData>
            </a:graphic>
          </wp:inline>
        </w:drawing>
      </w:r>
    </w:p>
    <w:p w14:paraId="20355329" w14:textId="77777777" w:rsidR="00885A92" w:rsidRPr="00885A92" w:rsidRDefault="00885A92" w:rsidP="00885A92">
      <w:pPr>
        <w:rPr>
          <w:rFonts w:eastAsia="Times New Roman" w:cs="Times New Roman"/>
        </w:rPr>
      </w:pPr>
      <w:r w:rsidRPr="00885A92">
        <w:rPr>
          <w:rFonts w:eastAsia="Times New Roman" w:cs="Times New Roman"/>
        </w:rPr>
        <w:t>Basicamente, o que temos aqui é: o beta é igual a covariância da carteira de mercado (Ibovespa, por exemplo) com uma ação específica dividida pela variância da carteira de mercado.</w:t>
      </w:r>
    </w:p>
    <w:p w14:paraId="38C41BB2" w14:textId="77777777" w:rsidR="00885A92" w:rsidRPr="00885A92" w:rsidRDefault="00885A92" w:rsidP="00885A92">
      <w:pPr>
        <w:rPr>
          <w:rFonts w:eastAsia="Times New Roman" w:cs="Times New Roman"/>
        </w:rPr>
      </w:pPr>
      <w:r w:rsidRPr="00885A92">
        <w:rPr>
          <w:rFonts w:eastAsia="Times New Roman" w:cs="Times New Roman"/>
        </w:rPr>
        <w:t>Tudo isso parece confuso, né? Vou deixar as coisas mais fáceis para você. O resultado do coeficiente beta será analisado em 3 cenários, apenas:</w:t>
      </w:r>
    </w:p>
    <w:p w14:paraId="5667404C" w14:textId="77777777" w:rsidR="00885A92" w:rsidRPr="00885A92" w:rsidRDefault="00885A92" w:rsidP="00885A92">
      <w:pPr>
        <w:rPr>
          <w:rFonts w:eastAsia="Times New Roman" w:cs="Times New Roman"/>
        </w:rPr>
      </w:pPr>
      <w:r w:rsidRPr="00885A92">
        <w:rPr>
          <w:rFonts w:eastAsia="Times New Roman" w:cs="Times New Roman"/>
        </w:rPr>
        <w:t xml:space="preserve">1. beta igual a 1: aqui indica que a ação estudada (ou carteira) tem a mesma variação que o benchmark de mercado </w:t>
      </w:r>
    </w:p>
    <w:p w14:paraId="521A8C22" w14:textId="77777777" w:rsidR="00885A92" w:rsidRPr="00885A92" w:rsidRDefault="00885A92" w:rsidP="00885A92">
      <w:pPr>
        <w:rPr>
          <w:rFonts w:eastAsia="Times New Roman" w:cs="Times New Roman"/>
        </w:rPr>
      </w:pPr>
      <w:r w:rsidRPr="00885A92">
        <w:rPr>
          <w:rFonts w:eastAsia="Times New Roman" w:cs="Times New Roman"/>
        </w:rPr>
        <w:t xml:space="preserve">2. beta maior que 1: aqui indica que a ação estudada (ou carteira) terá uma variação maior que o benchmark de mercado. </w:t>
      </w:r>
    </w:p>
    <w:p w14:paraId="5F7EDD1A" w14:textId="77777777" w:rsidR="00885A92" w:rsidRPr="00885A92" w:rsidRDefault="00885A92" w:rsidP="00885A92">
      <w:pPr>
        <w:rPr>
          <w:rFonts w:eastAsia="Times New Roman" w:cs="Times New Roman"/>
        </w:rPr>
      </w:pPr>
      <w:r w:rsidRPr="00885A92">
        <w:rPr>
          <w:rFonts w:eastAsia="Times New Roman" w:cs="Times New Roman"/>
        </w:rPr>
        <w:t>3. beta menor que 1: aqui indica que a ação estudada (ou carteira) terá uma variação menor que o benchmark de mercado.</w:t>
      </w:r>
    </w:p>
    <w:p w14:paraId="20F505BD" w14:textId="77777777" w:rsidR="00885A92" w:rsidRPr="00885A92" w:rsidRDefault="00885A92" w:rsidP="00885A92">
      <w:pPr>
        <w:rPr>
          <w:rFonts w:eastAsia="Times New Roman" w:cs="Times New Roman"/>
        </w:rPr>
      </w:pPr>
      <w:r w:rsidRPr="00885A92">
        <w:rPr>
          <w:rFonts w:eastAsia="Times New Roman" w:cs="Times New Roman"/>
        </w:rPr>
        <w:t xml:space="preserve">Vamos usar alguns exemplos com gráficos que ajudarão sua compreensão. </w:t>
      </w:r>
    </w:p>
    <w:p w14:paraId="72E9EE96" w14:textId="77777777" w:rsidR="00885A92" w:rsidRPr="00885A92" w:rsidRDefault="00885A92" w:rsidP="00885A92">
      <w:pPr>
        <w:rPr>
          <w:rFonts w:eastAsia="Times New Roman" w:cs="Times New Roman"/>
        </w:rPr>
      </w:pPr>
      <w:r w:rsidRPr="00885A92">
        <w:rPr>
          <w:rFonts w:eastAsia="Times New Roman" w:cs="Times New Roman"/>
        </w:rPr>
        <w:t>Cenário 1: beta de 1,5 (maior que 1)</w:t>
      </w:r>
    </w:p>
    <w:p w14:paraId="1372E2E9" w14:textId="20F9635A" w:rsidR="00885A92" w:rsidRPr="00885A92" w:rsidRDefault="00885A92" w:rsidP="00885A92">
      <w:pPr>
        <w:rPr>
          <w:rFonts w:eastAsia="Times New Roman" w:cs="Times New Roman"/>
        </w:rPr>
      </w:pPr>
      <w:r w:rsidRPr="00885A92">
        <w:rPr>
          <w:rFonts w:eastAsia="Times New Roman" w:cs="Times New Roman"/>
          <w:noProof/>
        </w:rPr>
        <w:drawing>
          <wp:inline distT="0" distB="0" distL="0" distR="0" wp14:anchorId="3553A81E" wp14:editId="1169C00D">
            <wp:extent cx="5343525" cy="2076450"/>
            <wp:effectExtent l="0" t="0" r="9525" b="0"/>
            <wp:docPr id="28" name="Imagem 28" descr="Gráfico, Gráfico de barr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m 28" descr="Gráfico, Gráfico de barras&#10;&#10;Descrição gerad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43525" cy="2076450"/>
                    </a:xfrm>
                    <a:prstGeom prst="rect">
                      <a:avLst/>
                    </a:prstGeom>
                    <a:noFill/>
                    <a:ln>
                      <a:noFill/>
                    </a:ln>
                  </pic:spPr>
                </pic:pic>
              </a:graphicData>
            </a:graphic>
          </wp:inline>
        </w:drawing>
      </w:r>
    </w:p>
    <w:p w14:paraId="3977C635" w14:textId="77777777" w:rsidR="00885A92" w:rsidRPr="00885A92" w:rsidRDefault="00885A92" w:rsidP="00885A92">
      <w:pPr>
        <w:rPr>
          <w:rFonts w:eastAsia="Times New Roman" w:cs="Times New Roman"/>
        </w:rPr>
      </w:pPr>
      <w:r w:rsidRPr="00885A92">
        <w:rPr>
          <w:rFonts w:eastAsia="Times New Roman" w:cs="Times New Roman"/>
        </w:rPr>
        <w:t>Na imagem acima, temos o seguinte: a barra cinza indica a variação do Ibovespa no período e a barra azul indica a ação estudada. Perceba que quando o Ibovespa cai, a ação cai muito mais, e quando o Ibovespa sobe, a ação sobe ainda mais.</w:t>
      </w:r>
    </w:p>
    <w:p w14:paraId="42FBB69F" w14:textId="77777777" w:rsidR="00885A92" w:rsidRPr="00885A92" w:rsidRDefault="00885A92" w:rsidP="00885A92">
      <w:pPr>
        <w:rPr>
          <w:rFonts w:eastAsia="Times New Roman" w:cs="Times New Roman"/>
        </w:rPr>
      </w:pPr>
      <w:r w:rsidRPr="00885A92">
        <w:rPr>
          <w:rFonts w:eastAsia="Times New Roman" w:cs="Times New Roman"/>
        </w:rPr>
        <w:t>Cenário 2: beta de 0,5 (menor que 1)</w:t>
      </w:r>
    </w:p>
    <w:p w14:paraId="4D99C3A8" w14:textId="68CD4ED8" w:rsidR="00885A92" w:rsidRPr="00885A92" w:rsidRDefault="00885A92" w:rsidP="00885A92">
      <w:pPr>
        <w:rPr>
          <w:rFonts w:eastAsia="Times New Roman" w:cs="Times New Roman"/>
        </w:rPr>
      </w:pPr>
      <w:r w:rsidRPr="00885A92">
        <w:rPr>
          <w:rFonts w:eastAsia="Times New Roman" w:cs="Times New Roman"/>
          <w:noProof/>
        </w:rPr>
        <w:lastRenderedPageBreak/>
        <w:drawing>
          <wp:inline distT="0" distB="0" distL="0" distR="0" wp14:anchorId="65654E14" wp14:editId="2FBFB69C">
            <wp:extent cx="5343525" cy="2238375"/>
            <wp:effectExtent l="0" t="0" r="9525" b="9525"/>
            <wp:docPr id="27" name="Imagem 27" descr="Gráfico, Gráfico de barras, Gráfico de cascat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m 27" descr="Gráfico, Gráfico de barras, Gráfico de cascata&#10;&#10;Descrição gerada automa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43525" cy="2238375"/>
                    </a:xfrm>
                    <a:prstGeom prst="rect">
                      <a:avLst/>
                    </a:prstGeom>
                    <a:noFill/>
                    <a:ln>
                      <a:noFill/>
                    </a:ln>
                  </pic:spPr>
                </pic:pic>
              </a:graphicData>
            </a:graphic>
          </wp:inline>
        </w:drawing>
      </w:r>
    </w:p>
    <w:p w14:paraId="1EF3F254" w14:textId="77777777" w:rsidR="00885A92" w:rsidRPr="00885A92" w:rsidRDefault="00885A92" w:rsidP="00885A92">
      <w:pPr>
        <w:rPr>
          <w:rFonts w:eastAsia="Times New Roman" w:cs="Times New Roman"/>
        </w:rPr>
      </w:pPr>
      <w:r w:rsidRPr="00885A92">
        <w:rPr>
          <w:rFonts w:eastAsia="Times New Roman" w:cs="Times New Roman"/>
        </w:rPr>
        <w:t>Analisar a imagem acima é bem simples se você entendeu a análise anterior. Aqui, quando o Ibovespa sobe, a ação sobe menos que o Ibovespa, mas quando o Ibovespa cai, a ação cai menos que o Ibovespa.</w:t>
      </w:r>
    </w:p>
    <w:p w14:paraId="0FA44262" w14:textId="77777777" w:rsidR="00885A92" w:rsidRPr="00885A92" w:rsidRDefault="00885A92" w:rsidP="00885A92">
      <w:pPr>
        <w:rPr>
          <w:rFonts w:eastAsia="Times New Roman" w:cs="Times New Roman"/>
        </w:rPr>
      </w:pPr>
      <w:r w:rsidRPr="00885A92">
        <w:rPr>
          <w:rFonts w:eastAsia="Times New Roman" w:cs="Times New Roman"/>
        </w:rPr>
        <w:t>Cenário 1: beta de 1 (igual a 1)</w:t>
      </w:r>
    </w:p>
    <w:p w14:paraId="2B93501E" w14:textId="4C46F97A" w:rsidR="00885A92" w:rsidRPr="00885A92" w:rsidRDefault="00885A92" w:rsidP="00885A92">
      <w:pPr>
        <w:rPr>
          <w:rFonts w:eastAsia="Times New Roman" w:cs="Times New Roman"/>
        </w:rPr>
      </w:pPr>
      <w:r w:rsidRPr="00885A92">
        <w:rPr>
          <w:rFonts w:eastAsia="Times New Roman" w:cs="Times New Roman"/>
          <w:noProof/>
        </w:rPr>
        <w:drawing>
          <wp:inline distT="0" distB="0" distL="0" distR="0" wp14:anchorId="7A714488" wp14:editId="375829C3">
            <wp:extent cx="5362575" cy="2209800"/>
            <wp:effectExtent l="0" t="0" r="9525" b="0"/>
            <wp:docPr id="26" name="Imagem 26" descr="Gráfico, Gráfico de barras, Gráfico de cascat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m 26" descr="Gráfico, Gráfico de barras, Gráfico de cascata&#10;&#10;Descrição gerada automaticament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62575" cy="2209800"/>
                    </a:xfrm>
                    <a:prstGeom prst="rect">
                      <a:avLst/>
                    </a:prstGeom>
                    <a:noFill/>
                    <a:ln>
                      <a:noFill/>
                    </a:ln>
                  </pic:spPr>
                </pic:pic>
              </a:graphicData>
            </a:graphic>
          </wp:inline>
        </w:drawing>
      </w:r>
    </w:p>
    <w:p w14:paraId="4D75504F" w14:textId="77777777" w:rsidR="00885A92" w:rsidRPr="00885A92" w:rsidRDefault="00885A92" w:rsidP="00885A92">
      <w:pPr>
        <w:rPr>
          <w:rFonts w:eastAsia="Times New Roman" w:cs="Times New Roman"/>
        </w:rPr>
      </w:pPr>
      <w:r w:rsidRPr="00885A92">
        <w:rPr>
          <w:rFonts w:eastAsia="Times New Roman" w:cs="Times New Roman"/>
        </w:rPr>
        <w:t>Neste caso, como temos beta igual a um, a ação estudada se comporta exatamente como o indicador de mercado.</w:t>
      </w:r>
    </w:p>
    <w:p w14:paraId="2896D67E" w14:textId="77777777" w:rsidR="00885A92" w:rsidRPr="00885A92" w:rsidRDefault="00885A92" w:rsidP="00885A92">
      <w:pPr>
        <w:rPr>
          <w:rFonts w:eastAsia="Times New Roman" w:cs="Times New Roman"/>
        </w:rPr>
      </w:pPr>
      <w:r w:rsidRPr="00885A92">
        <w:rPr>
          <w:rFonts w:eastAsia="Times New Roman" w:cs="Times New Roman"/>
        </w:rPr>
        <w:t xml:space="preserve">Algumas conclusões importantes sobre o coeficiente beta: </w:t>
      </w:r>
    </w:p>
    <w:p w14:paraId="3DAF79EA" w14:textId="77777777" w:rsidR="00885A92" w:rsidRPr="00885A92" w:rsidRDefault="00885A92" w:rsidP="00885A92">
      <w:pPr>
        <w:rPr>
          <w:rFonts w:eastAsia="Times New Roman" w:cs="Times New Roman"/>
        </w:rPr>
      </w:pPr>
      <w:r w:rsidRPr="00885A92">
        <w:rPr>
          <w:rFonts w:ascii="Segoe UI Symbol" w:eastAsia="Times New Roman" w:hAnsi="Segoe UI Symbol" w:cs="Segoe UI Symbol"/>
        </w:rPr>
        <w:t>⯀</w:t>
      </w:r>
      <w:r w:rsidRPr="00885A92">
        <w:rPr>
          <w:rFonts w:eastAsia="Times New Roman" w:cs="Times New Roman"/>
        </w:rPr>
        <w:t xml:space="preserve"> o coeficiente beta, por usar como benchmark uma carteira de mercado, busca calcular a exposição ao risco sistemático da uma carteira; </w:t>
      </w:r>
    </w:p>
    <w:p w14:paraId="0FE4CD31" w14:textId="77777777" w:rsidR="00885A92" w:rsidRPr="00885A92" w:rsidRDefault="00885A92" w:rsidP="00885A92">
      <w:pPr>
        <w:rPr>
          <w:rFonts w:eastAsia="Times New Roman" w:cs="Times New Roman"/>
        </w:rPr>
      </w:pPr>
      <w:r w:rsidRPr="00885A92">
        <w:rPr>
          <w:rFonts w:ascii="Segoe UI Symbol" w:eastAsia="Times New Roman" w:hAnsi="Segoe UI Symbol" w:cs="Segoe UI Symbol"/>
        </w:rPr>
        <w:t>⯀</w:t>
      </w:r>
      <w:r w:rsidRPr="00885A92">
        <w:rPr>
          <w:rFonts w:eastAsia="Times New Roman" w:cs="Times New Roman"/>
        </w:rPr>
        <w:t xml:space="preserve"> quanto maior for o beta, mais arrojada é a carteira estudada; </w:t>
      </w:r>
    </w:p>
    <w:p w14:paraId="57A099B4" w14:textId="77777777" w:rsidR="00885A92" w:rsidRPr="00885A92" w:rsidRDefault="00885A92" w:rsidP="00885A92">
      <w:pPr>
        <w:rPr>
          <w:rFonts w:eastAsia="Times New Roman" w:cs="Times New Roman"/>
        </w:rPr>
      </w:pPr>
      <w:r w:rsidRPr="00885A92">
        <w:rPr>
          <w:rFonts w:ascii="Segoe UI Symbol" w:eastAsia="Times New Roman" w:hAnsi="Segoe UI Symbol" w:cs="Segoe UI Symbol"/>
        </w:rPr>
        <w:t>⯀</w:t>
      </w:r>
      <w:r w:rsidRPr="00885A92">
        <w:rPr>
          <w:rFonts w:eastAsia="Times New Roman" w:cs="Times New Roman"/>
        </w:rPr>
        <w:t xml:space="preserve"> quando menor for o beta, mais conservadora é a carteira estudada</w:t>
      </w:r>
    </w:p>
    <w:p w14:paraId="4735847A" w14:textId="5626D8B4" w:rsidR="00885A92" w:rsidRPr="00885A92" w:rsidRDefault="00885A92" w:rsidP="00885A92">
      <w:pPr>
        <w:rPr>
          <w:rFonts w:eastAsia="Times New Roman" w:cs="Times New Roman"/>
        </w:rPr>
      </w:pPr>
      <w:r w:rsidRPr="00885A92">
        <w:rPr>
          <w:rFonts w:eastAsia="Times New Roman" w:cs="Times New Roman"/>
          <w:noProof/>
        </w:rPr>
        <w:lastRenderedPageBreak/>
        <w:drawing>
          <wp:inline distT="0" distB="0" distL="0" distR="0" wp14:anchorId="665F0B7E" wp14:editId="753D926A">
            <wp:extent cx="5353050" cy="2219325"/>
            <wp:effectExtent l="0" t="0" r="0" b="9525"/>
            <wp:docPr id="25" name="Imagem 25" descr="Uma imagem contendo 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m 25" descr="Uma imagem contendo Diagrama&#10;&#10;Descrição gerada automa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53050" cy="2219325"/>
                    </a:xfrm>
                    <a:prstGeom prst="rect">
                      <a:avLst/>
                    </a:prstGeom>
                    <a:noFill/>
                    <a:ln>
                      <a:noFill/>
                    </a:ln>
                  </pic:spPr>
                </pic:pic>
              </a:graphicData>
            </a:graphic>
          </wp:inline>
        </w:drawing>
      </w:r>
    </w:p>
    <w:p w14:paraId="6B282059" w14:textId="77777777" w:rsidR="00885A92" w:rsidRPr="00885A92" w:rsidRDefault="00885A92" w:rsidP="00885A92">
      <w:pPr>
        <w:rPr>
          <w:rFonts w:eastAsia="Times New Roman" w:cs="Times New Roman"/>
        </w:rPr>
      </w:pPr>
      <w:r w:rsidRPr="00885A92">
        <w:rPr>
          <w:rFonts w:eastAsia="Times New Roman" w:cs="Times New Roman"/>
        </w:rPr>
        <w:t>Tracking error x Erro Quadrático Médio, VAR e Back Testing, Stop Loss e Stress Test</w:t>
      </w:r>
    </w:p>
    <w:p w14:paraId="7D6DE2FA" w14:textId="77777777" w:rsidR="00885A92" w:rsidRPr="00885A92" w:rsidRDefault="00885A92" w:rsidP="00885A92">
      <w:pPr>
        <w:rPr>
          <w:rFonts w:eastAsia="Times New Roman" w:cs="Times New Roman"/>
        </w:rPr>
      </w:pPr>
      <w:r w:rsidRPr="00885A92">
        <w:rPr>
          <w:rFonts w:eastAsia="Times New Roman" w:cs="Times New Roman"/>
        </w:rPr>
        <w:t>Tracking Error X Erro Quadrático Médio</w:t>
      </w:r>
    </w:p>
    <w:p w14:paraId="7BA97958" w14:textId="77777777" w:rsidR="00885A92" w:rsidRPr="00885A92" w:rsidRDefault="00885A92" w:rsidP="00885A92">
      <w:pPr>
        <w:rPr>
          <w:rFonts w:eastAsia="Times New Roman" w:cs="Times New Roman"/>
        </w:rPr>
      </w:pPr>
      <w:r w:rsidRPr="00885A92">
        <w:rPr>
          <w:rFonts w:eastAsia="Times New Roman" w:cs="Times New Roman"/>
        </w:rPr>
        <w:t>Aqui temos dois indicadores importantes para medir o quanto um fundo está ou não aderente a seu benchmark. Basicamente, se tenho um fundo que tem objetivo de acompanhar seu benchmark, seria interessante se eu pudesse medir o quão aderente esse fundo foi a seu objetivo. Em outras palavras, seria o mesmo que dizer se ele bateu ou não a meta do fundo</w:t>
      </w:r>
    </w:p>
    <w:p w14:paraId="2FA10DCB" w14:textId="77777777" w:rsidR="00885A92" w:rsidRPr="00885A92" w:rsidRDefault="00885A92" w:rsidP="00885A92">
      <w:pPr>
        <w:rPr>
          <w:rFonts w:eastAsia="Times New Roman" w:cs="Times New Roman"/>
        </w:rPr>
      </w:pPr>
      <w:r w:rsidRPr="00885A92">
        <w:rPr>
          <w:rFonts w:eastAsia="Times New Roman" w:cs="Times New Roman"/>
        </w:rPr>
        <w:t>Imaginemos um fundo referenciado DI que tenha rendido 10% ao ano e que o DI, no mesmo período, tenha rendido 12%. Nesse caso, esse fundo está descolado do seu benchmark.</w:t>
      </w:r>
    </w:p>
    <w:p w14:paraId="509B0315" w14:textId="77777777" w:rsidR="00885A92" w:rsidRPr="00885A92" w:rsidRDefault="00885A92" w:rsidP="00885A92">
      <w:pPr>
        <w:rPr>
          <w:rFonts w:eastAsia="Times New Roman" w:cs="Times New Roman"/>
        </w:rPr>
      </w:pPr>
      <w:r w:rsidRPr="00885A92">
        <w:rPr>
          <w:rFonts w:eastAsia="Times New Roman" w:cs="Times New Roman"/>
        </w:rPr>
        <w:t>Em resumo: quanto maior for o Tracking Error de um fundo, menos aderente esse fundo está se comparado a seu benchmark. Estes indicadores não nos apontam qual é o melhor ou pior fundo, mostram apenas o quão aderente é o fundo a seu benchmark. Quanto menor for esse indicador, mais aderente é o fundo.</w:t>
      </w:r>
    </w:p>
    <w:p w14:paraId="65D20A67" w14:textId="77777777" w:rsidR="00885A92" w:rsidRPr="00885A92" w:rsidRDefault="00885A92" w:rsidP="00885A92">
      <w:pPr>
        <w:rPr>
          <w:rFonts w:eastAsia="Times New Roman" w:cs="Times New Roman"/>
        </w:rPr>
      </w:pPr>
      <w:r w:rsidRPr="00885A92">
        <w:rPr>
          <w:rFonts w:eastAsia="Times New Roman" w:cs="Times New Roman"/>
        </w:rPr>
        <w:t>Value at Risk</w:t>
      </w:r>
    </w:p>
    <w:p w14:paraId="45E60016" w14:textId="77777777" w:rsidR="00885A92" w:rsidRPr="00885A92" w:rsidRDefault="00885A92" w:rsidP="00885A92">
      <w:pPr>
        <w:rPr>
          <w:rFonts w:eastAsia="Times New Roman" w:cs="Times New Roman"/>
        </w:rPr>
      </w:pPr>
      <w:r w:rsidRPr="00885A92">
        <w:rPr>
          <w:rFonts w:eastAsia="Times New Roman" w:cs="Times New Roman"/>
        </w:rPr>
        <w:t xml:space="preserve">O Value at Risk é conhecido como VAR (esse VAR aqui chegou muito antes do árbitro de vídeo no futebol) e é uma metodologia que mensura o quanto um fundo ou carteira pode perder em valor de mercado dentro de um determinado </w:t>
      </w:r>
      <w:proofErr w:type="gramStart"/>
      <w:r w:rsidRPr="00885A92">
        <w:rPr>
          <w:rFonts w:eastAsia="Times New Roman" w:cs="Times New Roman"/>
        </w:rPr>
        <w:t>período de tempo</w:t>
      </w:r>
      <w:proofErr w:type="gramEnd"/>
      <w:r w:rsidRPr="00885A92">
        <w:rPr>
          <w:rFonts w:eastAsia="Times New Roman" w:cs="Times New Roman"/>
        </w:rPr>
        <w:t>.</w:t>
      </w:r>
    </w:p>
    <w:p w14:paraId="239E30B3" w14:textId="77777777" w:rsidR="00885A92" w:rsidRPr="00885A92" w:rsidRDefault="00885A92" w:rsidP="00885A92">
      <w:pPr>
        <w:rPr>
          <w:rFonts w:eastAsia="Times New Roman" w:cs="Times New Roman"/>
        </w:rPr>
      </w:pPr>
      <w:r w:rsidRPr="00885A92">
        <w:rPr>
          <w:rFonts w:eastAsia="Times New Roman" w:cs="Times New Roman"/>
        </w:rPr>
        <w:t>Com base nas ferramentas estudadas aqui (estatística e demais indicadores), o gestor do fundo monta um modelo de verificação que aponta qual a perda máxima potencial da carteira do fundo de investimento em um determinado período.</w:t>
      </w:r>
    </w:p>
    <w:p w14:paraId="06BEFB4D" w14:textId="77777777" w:rsidR="00885A92" w:rsidRPr="00885A92" w:rsidRDefault="00885A92" w:rsidP="00885A92">
      <w:pPr>
        <w:rPr>
          <w:rFonts w:eastAsia="Times New Roman" w:cs="Times New Roman"/>
        </w:rPr>
      </w:pPr>
    </w:p>
    <w:p w14:paraId="67BB7C42" w14:textId="77777777" w:rsidR="00885A92" w:rsidRPr="00885A92" w:rsidRDefault="00885A92" w:rsidP="00885A92">
      <w:pPr>
        <w:rPr>
          <w:rFonts w:eastAsia="Times New Roman" w:cs="Times New Roman"/>
        </w:rPr>
      </w:pPr>
      <w:r w:rsidRPr="00885A92">
        <w:rPr>
          <w:rFonts w:eastAsia="Times New Roman" w:cs="Times New Roman"/>
        </w:rPr>
        <w:t xml:space="preserve">Aqui vai um exemplo: um fundo de investimento que possui, em seu formulário de informações complementares, “VAR de 1%, para 1 dia, com 95% de confiança”. </w:t>
      </w:r>
    </w:p>
    <w:p w14:paraId="1E9ACE2A" w14:textId="77777777" w:rsidR="00885A92" w:rsidRPr="00885A92" w:rsidRDefault="00885A92" w:rsidP="00885A92">
      <w:pPr>
        <w:rPr>
          <w:rFonts w:eastAsia="Times New Roman" w:cs="Times New Roman"/>
        </w:rPr>
      </w:pPr>
      <w:r w:rsidRPr="00885A92">
        <w:rPr>
          <w:rFonts w:eastAsia="Times New Roman" w:cs="Times New Roman"/>
        </w:rPr>
        <w:t>Nesse caso, significa dizer que esse fundo pode perder, em 1 dia, 1% do total do PL do fundo com 95% de probabilidade.</w:t>
      </w:r>
    </w:p>
    <w:p w14:paraId="33E3E119" w14:textId="77777777" w:rsidR="00885A92" w:rsidRPr="00885A92" w:rsidRDefault="00885A92" w:rsidP="00885A92">
      <w:pPr>
        <w:rPr>
          <w:rFonts w:eastAsia="Times New Roman" w:cs="Times New Roman"/>
        </w:rPr>
      </w:pPr>
      <w:r w:rsidRPr="00885A92">
        <w:rPr>
          <w:rFonts w:eastAsia="Times New Roman" w:cs="Times New Roman"/>
        </w:rPr>
        <w:t xml:space="preserve">Em resumo: o VAR é uma ferramenta de gestão de risco que vai informar ao investidor o quanto do dinheiro dele está em risco em um determinado fundo </w:t>
      </w:r>
    </w:p>
    <w:p w14:paraId="483F4CA1" w14:textId="77777777" w:rsidR="00885A92" w:rsidRPr="00885A92" w:rsidRDefault="00885A92" w:rsidP="00885A92">
      <w:pPr>
        <w:rPr>
          <w:rFonts w:eastAsia="Times New Roman" w:cs="Times New Roman"/>
        </w:rPr>
      </w:pPr>
      <w:r w:rsidRPr="00885A92">
        <w:rPr>
          <w:rFonts w:eastAsia="Times New Roman" w:cs="Times New Roman"/>
        </w:rPr>
        <w:t>Mas sobra uma pergunta: como o gestor sabe se o fundo está ou não exposto a um risco maior do que o permitido em sua metodologia de risco, o VAR? É aí que entra nosso próximo tópico: o back testing</w:t>
      </w:r>
    </w:p>
    <w:p w14:paraId="3F6BA071" w14:textId="77777777" w:rsidR="00885A92" w:rsidRPr="00885A92" w:rsidRDefault="00885A92" w:rsidP="00885A92">
      <w:pPr>
        <w:rPr>
          <w:rFonts w:eastAsia="Times New Roman" w:cs="Times New Roman"/>
        </w:rPr>
      </w:pPr>
      <w:r w:rsidRPr="00885A92">
        <w:rPr>
          <w:rFonts w:eastAsia="Times New Roman" w:cs="Times New Roman"/>
        </w:rPr>
        <w:lastRenderedPageBreak/>
        <w:t xml:space="preserve">Back Testing </w:t>
      </w:r>
    </w:p>
    <w:p w14:paraId="1EF6F4BB" w14:textId="77777777" w:rsidR="00885A92" w:rsidRPr="00885A92" w:rsidRDefault="00885A92" w:rsidP="00885A92">
      <w:pPr>
        <w:rPr>
          <w:rFonts w:eastAsia="Times New Roman" w:cs="Times New Roman"/>
        </w:rPr>
      </w:pPr>
      <w:r w:rsidRPr="00885A92">
        <w:rPr>
          <w:rFonts w:eastAsia="Times New Roman" w:cs="Times New Roman"/>
        </w:rPr>
        <w:t>Nós já sabemos que o VAR é um modelo de risco e que esse modelo deve estar previsto no regulamento do fundo. Eu quero sugerir para você imaginar esse “modelo de risco” como uma grande planilha de Excel, com as fórmulas devidamente configuradas e calculando o quanto o fundo está exposto ao risco. Você vai entender onde quero chegar</w:t>
      </w:r>
    </w:p>
    <w:p w14:paraId="03177012" w14:textId="77777777" w:rsidR="00885A92" w:rsidRPr="00885A92" w:rsidRDefault="00885A92" w:rsidP="00885A92">
      <w:pPr>
        <w:rPr>
          <w:rFonts w:eastAsia="Times New Roman" w:cs="Times New Roman"/>
        </w:rPr>
      </w:pPr>
      <w:r w:rsidRPr="00885A92">
        <w:rPr>
          <w:rFonts w:eastAsia="Times New Roman" w:cs="Times New Roman"/>
        </w:rPr>
        <w:t>Faz sentido para você que o gestor está comprando e vendo ativos no Mercado Financeiro para compor a carteira do fundo e que, diariamente, as taxas de juros de mercado se alteram e que, por isso, pode haver uma mudança na exposição de risco da carteira?</w:t>
      </w:r>
    </w:p>
    <w:p w14:paraId="3533169D" w14:textId="77777777" w:rsidR="00885A92" w:rsidRPr="00885A92" w:rsidRDefault="00885A92" w:rsidP="00885A92">
      <w:pPr>
        <w:rPr>
          <w:rFonts w:eastAsia="Times New Roman" w:cs="Times New Roman"/>
        </w:rPr>
      </w:pPr>
      <w:r w:rsidRPr="00885A92">
        <w:rPr>
          <w:rFonts w:eastAsia="Times New Roman" w:cs="Times New Roman"/>
        </w:rPr>
        <w:t>É aí que entra o back testing. Em uma tradução livre, back testing seria algo como “voltar para testar”. Em outras palavras, poderia ser “voltar e testar a metodologia de risco para saber se está dentro dos limites estabelecidos pelo VAR”. É como se a gente “rodasse” as fórmulas da nossa grande planilha de Excel. Viu como você ia entender?</w:t>
      </w:r>
    </w:p>
    <w:p w14:paraId="03F76819" w14:textId="77777777" w:rsidR="00885A92" w:rsidRPr="00885A92" w:rsidRDefault="00885A92" w:rsidP="00885A92">
      <w:pPr>
        <w:rPr>
          <w:rFonts w:eastAsia="Times New Roman" w:cs="Times New Roman"/>
        </w:rPr>
      </w:pPr>
      <w:r w:rsidRPr="00885A92">
        <w:rPr>
          <w:rFonts w:eastAsia="Times New Roman" w:cs="Times New Roman"/>
        </w:rPr>
        <w:t>A pergunta que fica é: e se, ao rodar o modelo de risco, o gestor percebe que a exposição da carteira está maior do que o previsto no modelo? É aí que entra, no próximo tópico, o Stop Loss</w:t>
      </w:r>
    </w:p>
    <w:p w14:paraId="45613025" w14:textId="77777777" w:rsidR="00885A92" w:rsidRPr="00885A92" w:rsidRDefault="00885A92" w:rsidP="00885A92">
      <w:pPr>
        <w:rPr>
          <w:rFonts w:eastAsia="Times New Roman" w:cs="Times New Roman"/>
        </w:rPr>
      </w:pPr>
      <w:r w:rsidRPr="00885A92">
        <w:rPr>
          <w:rFonts w:eastAsia="Times New Roman" w:cs="Times New Roman"/>
        </w:rPr>
        <w:t xml:space="preserve">Stop Loss </w:t>
      </w:r>
    </w:p>
    <w:p w14:paraId="3C80C399" w14:textId="77777777" w:rsidR="00885A92" w:rsidRPr="00885A92" w:rsidRDefault="00885A92" w:rsidP="00885A92">
      <w:pPr>
        <w:rPr>
          <w:rFonts w:eastAsia="Times New Roman" w:cs="Times New Roman"/>
        </w:rPr>
      </w:pPr>
      <w:r w:rsidRPr="00885A92">
        <w:rPr>
          <w:rFonts w:eastAsia="Times New Roman" w:cs="Times New Roman"/>
        </w:rPr>
        <w:t xml:space="preserve">O modelo de risco previsto no VAR deve ser medido diariamente pelo back testing e caso o fundo tenha uma exposição ao risco maior do que o previsto no VAR, o gestor deve acionar o Stop Loss. </w:t>
      </w:r>
    </w:p>
    <w:p w14:paraId="32DC9B5A" w14:textId="77777777" w:rsidR="00885A92" w:rsidRPr="00885A92" w:rsidRDefault="00885A92" w:rsidP="00885A92">
      <w:pPr>
        <w:rPr>
          <w:rFonts w:eastAsia="Times New Roman" w:cs="Times New Roman"/>
        </w:rPr>
      </w:pPr>
      <w:r w:rsidRPr="00885A92">
        <w:rPr>
          <w:rFonts w:eastAsia="Times New Roman" w:cs="Times New Roman"/>
        </w:rPr>
        <w:t>Em tradução livre, o Stop Loss seria algo com “pare de perder”. Em outras palavras, o gestor precisa proteger sua carteira contra as perdas superiores ao modelo de VAR.</w:t>
      </w:r>
    </w:p>
    <w:p w14:paraId="54408C35" w14:textId="77777777" w:rsidR="00885A92" w:rsidRPr="00885A92" w:rsidRDefault="00885A92" w:rsidP="00885A92">
      <w:pPr>
        <w:rPr>
          <w:rFonts w:eastAsia="Times New Roman" w:cs="Times New Roman"/>
        </w:rPr>
      </w:pPr>
      <w:r w:rsidRPr="00885A92">
        <w:rPr>
          <w:rFonts w:eastAsia="Times New Roman" w:cs="Times New Roman"/>
        </w:rPr>
        <w:t xml:space="preserve">Imagine que, em função de uma declaração do presidente dos EUA, há uma queda muito grande no preço do dólar e por isso, um fundo que esteja posicionado no dólar pode ter perdas potenciais maiores do que o previsto no VAR. Nesse caso o gestor do fundo deve: </w:t>
      </w:r>
    </w:p>
    <w:p w14:paraId="4B4FB627" w14:textId="77777777" w:rsidR="00885A92" w:rsidRPr="00885A92" w:rsidRDefault="00885A92" w:rsidP="00885A92">
      <w:pPr>
        <w:rPr>
          <w:rFonts w:eastAsia="Times New Roman" w:cs="Times New Roman"/>
        </w:rPr>
      </w:pPr>
      <w:r w:rsidRPr="00885A92">
        <w:rPr>
          <w:rFonts w:ascii="Segoe UI Symbol" w:eastAsia="Times New Roman" w:hAnsi="Segoe UI Symbol" w:cs="Segoe UI Symbol"/>
        </w:rPr>
        <w:t>⯀</w:t>
      </w:r>
      <w:r w:rsidRPr="00885A92">
        <w:rPr>
          <w:rFonts w:eastAsia="Times New Roman" w:cs="Times New Roman"/>
        </w:rPr>
        <w:t xml:space="preserve"> se desfazer de suas posições em dólar para se enquadrar no VAR; ou </w:t>
      </w:r>
    </w:p>
    <w:p w14:paraId="4C0BDB65" w14:textId="77777777" w:rsidR="00885A92" w:rsidRPr="00885A92" w:rsidRDefault="00885A92" w:rsidP="00885A92">
      <w:pPr>
        <w:rPr>
          <w:rFonts w:eastAsia="Times New Roman" w:cs="Times New Roman"/>
        </w:rPr>
      </w:pPr>
      <w:r w:rsidRPr="00885A92">
        <w:rPr>
          <w:rFonts w:ascii="Segoe UI Symbol" w:eastAsia="Times New Roman" w:hAnsi="Segoe UI Symbol" w:cs="Segoe UI Symbol"/>
        </w:rPr>
        <w:t>⯀</w:t>
      </w:r>
      <w:r w:rsidRPr="00885A92">
        <w:rPr>
          <w:rFonts w:eastAsia="Times New Roman" w:cs="Times New Roman"/>
        </w:rPr>
        <w:t xml:space="preserve"> contratar derivativos para sua carteira com a intenção de fazer hedge para essa posição.</w:t>
      </w:r>
    </w:p>
    <w:p w14:paraId="7DEC9ABD" w14:textId="77777777" w:rsidR="00885A92" w:rsidRPr="00885A92" w:rsidRDefault="00885A92" w:rsidP="00885A92">
      <w:pPr>
        <w:rPr>
          <w:rFonts w:eastAsia="Times New Roman" w:cs="Times New Roman"/>
        </w:rPr>
      </w:pPr>
      <w:r w:rsidRPr="00885A92">
        <w:rPr>
          <w:rFonts w:eastAsia="Times New Roman" w:cs="Times New Roman"/>
        </w:rPr>
        <w:t xml:space="preserve">Em resumo: o Stop Loss é acionado quando o fundo está exposto a um risco maior do que o previsto no VAR e o gestor precisa proteger a carteira do fundo contra </w:t>
      </w:r>
      <w:proofErr w:type="gramStart"/>
      <w:r w:rsidRPr="00885A92">
        <w:rPr>
          <w:rFonts w:eastAsia="Times New Roman" w:cs="Times New Roman"/>
        </w:rPr>
        <w:t>essa potencial</w:t>
      </w:r>
      <w:proofErr w:type="gramEnd"/>
      <w:r w:rsidRPr="00885A92">
        <w:rPr>
          <w:rFonts w:eastAsia="Times New Roman" w:cs="Times New Roman"/>
        </w:rPr>
        <w:t xml:space="preserve"> perda.</w:t>
      </w:r>
    </w:p>
    <w:p w14:paraId="78F937D2" w14:textId="77777777" w:rsidR="00885A92" w:rsidRPr="00885A92" w:rsidRDefault="00885A92" w:rsidP="00885A92">
      <w:pPr>
        <w:rPr>
          <w:rFonts w:eastAsia="Times New Roman" w:cs="Times New Roman"/>
        </w:rPr>
      </w:pPr>
    </w:p>
    <w:p w14:paraId="0BDF7A8A" w14:textId="77777777" w:rsidR="00885A92" w:rsidRPr="00885A92" w:rsidRDefault="00885A92" w:rsidP="00885A92">
      <w:pPr>
        <w:rPr>
          <w:rFonts w:eastAsia="Times New Roman" w:cs="Times New Roman"/>
        </w:rPr>
      </w:pPr>
    </w:p>
    <w:p w14:paraId="176CAE5E" w14:textId="77777777" w:rsidR="00885A92" w:rsidRPr="00885A92" w:rsidRDefault="00885A92" w:rsidP="00885A92">
      <w:pPr>
        <w:rPr>
          <w:rFonts w:eastAsia="Times New Roman" w:cs="Times New Roman"/>
        </w:rPr>
      </w:pPr>
      <w:r w:rsidRPr="00885A92">
        <w:rPr>
          <w:rFonts w:eastAsia="Times New Roman" w:cs="Times New Roman"/>
        </w:rPr>
        <w:t>Stress Test</w:t>
      </w:r>
    </w:p>
    <w:p w14:paraId="3F6A0266" w14:textId="77777777" w:rsidR="00885A92" w:rsidRPr="00885A92" w:rsidRDefault="00885A92" w:rsidP="00885A92">
      <w:pPr>
        <w:rPr>
          <w:rFonts w:eastAsia="Times New Roman" w:cs="Times New Roman"/>
        </w:rPr>
      </w:pPr>
      <w:r w:rsidRPr="00885A92">
        <w:rPr>
          <w:rFonts w:eastAsia="Times New Roman" w:cs="Times New Roman"/>
        </w:rPr>
        <w:t>Para te explicar sobre o Stress Test, vou voltar aqui rapidinho em um trecho que escrevi no VAR destacando um ponto importante:</w:t>
      </w:r>
    </w:p>
    <w:p w14:paraId="60EACA03" w14:textId="77777777" w:rsidR="00885A92" w:rsidRPr="00885A92" w:rsidRDefault="00885A92" w:rsidP="00885A92">
      <w:pPr>
        <w:rPr>
          <w:rFonts w:eastAsia="Times New Roman" w:cs="Times New Roman"/>
        </w:rPr>
      </w:pPr>
      <w:r w:rsidRPr="00885A92">
        <w:rPr>
          <w:rFonts w:eastAsia="Times New Roman" w:cs="Times New Roman"/>
        </w:rPr>
        <w:t xml:space="preserve">“VAR de 1%, para 1 dia, com 95% de confiança”.  </w:t>
      </w:r>
    </w:p>
    <w:p w14:paraId="2A54AF74" w14:textId="77777777" w:rsidR="00885A92" w:rsidRPr="00885A92" w:rsidRDefault="00885A92" w:rsidP="00885A92">
      <w:pPr>
        <w:rPr>
          <w:rFonts w:eastAsia="Times New Roman" w:cs="Times New Roman"/>
        </w:rPr>
      </w:pPr>
      <w:r w:rsidRPr="00885A92">
        <w:rPr>
          <w:rFonts w:eastAsia="Times New Roman" w:cs="Times New Roman"/>
        </w:rPr>
        <w:t xml:space="preserve">Esses </w:t>
      </w:r>
      <w:proofErr w:type="gramStart"/>
      <w:r w:rsidRPr="00885A92">
        <w:rPr>
          <w:rFonts w:eastAsia="Times New Roman" w:cs="Times New Roman"/>
        </w:rPr>
        <w:t>95% de confiança vêm</w:t>
      </w:r>
      <w:proofErr w:type="gramEnd"/>
      <w:r w:rsidRPr="00885A92">
        <w:rPr>
          <w:rFonts w:eastAsia="Times New Roman" w:cs="Times New Roman"/>
        </w:rPr>
        <w:t xml:space="preserve"> da distribuição normal, mas o ponto aqui é que esse modelo de risco prevê somente uma perda máxima em cenários normais de economia e mercado.</w:t>
      </w:r>
    </w:p>
    <w:p w14:paraId="0DDBD13B" w14:textId="77777777" w:rsidR="00885A92" w:rsidRPr="00885A92" w:rsidRDefault="00885A92" w:rsidP="00885A92">
      <w:pPr>
        <w:rPr>
          <w:rFonts w:eastAsia="Times New Roman" w:cs="Times New Roman"/>
        </w:rPr>
      </w:pPr>
      <w:r w:rsidRPr="00885A92">
        <w:rPr>
          <w:rFonts w:eastAsia="Times New Roman" w:cs="Times New Roman"/>
        </w:rPr>
        <w:t xml:space="preserve">Acontece que se por qualquer motivo “vaza” uma gravação do presidente da república, o mercado não estaria em cenários normais. Faz sentido? Estou querendo dizer que, por </w:t>
      </w:r>
      <w:r w:rsidRPr="00885A92">
        <w:rPr>
          <w:rFonts w:eastAsia="Times New Roman" w:cs="Times New Roman"/>
        </w:rPr>
        <w:lastRenderedPageBreak/>
        <w:t>diversos motivos, o mercado financeiro pode se estressar e nesse caso o VAR não serve para nada. Para isso usamos o Stress Test.</w:t>
      </w:r>
    </w:p>
    <w:p w14:paraId="44F680FA" w14:textId="77777777" w:rsidR="00885A92" w:rsidRPr="00885A92" w:rsidRDefault="00885A92" w:rsidP="00885A92">
      <w:pPr>
        <w:rPr>
          <w:rFonts w:eastAsia="Times New Roman" w:cs="Times New Roman"/>
        </w:rPr>
      </w:pPr>
      <w:r w:rsidRPr="00885A92">
        <w:rPr>
          <w:rFonts w:eastAsia="Times New Roman" w:cs="Times New Roman"/>
        </w:rPr>
        <w:t>Cenários de guerra, crises políticas, crises geopolíticas podem trazer um certo estresse ao mercado, por isso é importante ter uma medida de risco que mensure essas variáveis. Nisso, o stress test é o “cara”</w:t>
      </w:r>
    </w:p>
    <w:p w14:paraId="3FBEC7AB" w14:textId="77777777" w:rsidR="00885A92" w:rsidRPr="00885A92" w:rsidRDefault="00885A92" w:rsidP="00885A92">
      <w:pPr>
        <w:rPr>
          <w:rFonts w:eastAsia="Times New Roman" w:cs="Times New Roman"/>
        </w:rPr>
      </w:pPr>
      <w:r w:rsidRPr="00885A92">
        <w:rPr>
          <w:rFonts w:eastAsia="Times New Roman" w:cs="Times New Roman"/>
        </w:rPr>
        <w:t>Em resumo: o VAR mede a perda máxima potencial de um fundo em condições normais de mercado. O Stress Test mede essa perda máxima potencial em cenários de estresse de mercado.</w:t>
      </w:r>
    </w:p>
    <w:p w14:paraId="14FEC497" w14:textId="5111A637" w:rsidR="00885A92" w:rsidRPr="00885A92" w:rsidRDefault="00885A92" w:rsidP="00885A92">
      <w:pPr>
        <w:rPr>
          <w:rFonts w:eastAsia="Times New Roman" w:cs="Times New Roman"/>
        </w:rPr>
      </w:pPr>
      <w:r w:rsidRPr="00885A92">
        <w:rPr>
          <w:rFonts w:eastAsia="Times New Roman" w:cs="Times New Roman"/>
          <w:noProof/>
        </w:rPr>
        <w:drawing>
          <wp:inline distT="0" distB="0" distL="0" distR="0" wp14:anchorId="6748C4CD" wp14:editId="4E2DE0B0">
            <wp:extent cx="5334000" cy="2466975"/>
            <wp:effectExtent l="0" t="0" r="0" b="9525"/>
            <wp:docPr id="24" name="Imagem 24" descr="Diagrama,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m 24" descr="Diagrama, Linha do tempo&#10;&#10;Descrição gerada automaticamente"/>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34000" cy="2466975"/>
                    </a:xfrm>
                    <a:prstGeom prst="rect">
                      <a:avLst/>
                    </a:prstGeom>
                    <a:noFill/>
                    <a:ln>
                      <a:noFill/>
                    </a:ln>
                  </pic:spPr>
                </pic:pic>
              </a:graphicData>
            </a:graphic>
          </wp:inline>
        </w:drawing>
      </w:r>
    </w:p>
    <w:p w14:paraId="42D48AD5" w14:textId="77777777" w:rsidR="00885A92" w:rsidRDefault="00885A92" w:rsidP="00A2682A"/>
    <w:sectPr w:rsidR="00885A92">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75C5"/>
    <w:rsid w:val="00427B00"/>
    <w:rsid w:val="004D1488"/>
    <w:rsid w:val="004D1535"/>
    <w:rsid w:val="0051521F"/>
    <w:rsid w:val="007D66C4"/>
    <w:rsid w:val="00883691"/>
    <w:rsid w:val="00885A92"/>
    <w:rsid w:val="008C5B27"/>
    <w:rsid w:val="00956643"/>
    <w:rsid w:val="00991AC1"/>
    <w:rsid w:val="00A2682A"/>
    <w:rsid w:val="00B451A6"/>
    <w:rsid w:val="00BF7764"/>
    <w:rsid w:val="00C1364D"/>
    <w:rsid w:val="00C92D27"/>
    <w:rsid w:val="00E575C5"/>
    <w:rsid w:val="00EA3299"/>
    <w:rsid w:val="00F0012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11EA47"/>
  <w15:chartTrackingRefBased/>
  <w15:docId w15:val="{01E0F906-CAE2-48DE-8DF6-459C6BDD64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051587">
      <w:bodyDiv w:val="1"/>
      <w:marLeft w:val="0"/>
      <w:marRight w:val="0"/>
      <w:marTop w:val="0"/>
      <w:marBottom w:val="0"/>
      <w:divBdr>
        <w:top w:val="none" w:sz="0" w:space="0" w:color="auto"/>
        <w:left w:val="none" w:sz="0" w:space="0" w:color="auto"/>
        <w:bottom w:val="none" w:sz="0" w:space="0" w:color="auto"/>
        <w:right w:val="none" w:sz="0" w:space="0" w:color="auto"/>
      </w:divBdr>
    </w:div>
    <w:div w:id="168715587">
      <w:bodyDiv w:val="1"/>
      <w:marLeft w:val="0"/>
      <w:marRight w:val="0"/>
      <w:marTop w:val="0"/>
      <w:marBottom w:val="0"/>
      <w:divBdr>
        <w:top w:val="none" w:sz="0" w:space="0" w:color="auto"/>
        <w:left w:val="none" w:sz="0" w:space="0" w:color="auto"/>
        <w:bottom w:val="none" w:sz="0" w:space="0" w:color="auto"/>
        <w:right w:val="none" w:sz="0" w:space="0" w:color="auto"/>
      </w:divBdr>
    </w:div>
    <w:div w:id="169486490">
      <w:bodyDiv w:val="1"/>
      <w:marLeft w:val="0"/>
      <w:marRight w:val="0"/>
      <w:marTop w:val="0"/>
      <w:marBottom w:val="0"/>
      <w:divBdr>
        <w:top w:val="none" w:sz="0" w:space="0" w:color="auto"/>
        <w:left w:val="none" w:sz="0" w:space="0" w:color="auto"/>
        <w:bottom w:val="none" w:sz="0" w:space="0" w:color="auto"/>
        <w:right w:val="none" w:sz="0" w:space="0" w:color="auto"/>
      </w:divBdr>
    </w:div>
    <w:div w:id="173498005">
      <w:bodyDiv w:val="1"/>
      <w:marLeft w:val="0"/>
      <w:marRight w:val="0"/>
      <w:marTop w:val="0"/>
      <w:marBottom w:val="0"/>
      <w:divBdr>
        <w:top w:val="none" w:sz="0" w:space="0" w:color="auto"/>
        <w:left w:val="none" w:sz="0" w:space="0" w:color="auto"/>
        <w:bottom w:val="none" w:sz="0" w:space="0" w:color="auto"/>
        <w:right w:val="none" w:sz="0" w:space="0" w:color="auto"/>
      </w:divBdr>
    </w:div>
    <w:div w:id="187791287">
      <w:bodyDiv w:val="1"/>
      <w:marLeft w:val="0"/>
      <w:marRight w:val="0"/>
      <w:marTop w:val="0"/>
      <w:marBottom w:val="0"/>
      <w:divBdr>
        <w:top w:val="none" w:sz="0" w:space="0" w:color="auto"/>
        <w:left w:val="none" w:sz="0" w:space="0" w:color="auto"/>
        <w:bottom w:val="none" w:sz="0" w:space="0" w:color="auto"/>
        <w:right w:val="none" w:sz="0" w:space="0" w:color="auto"/>
      </w:divBdr>
    </w:div>
    <w:div w:id="226302110">
      <w:bodyDiv w:val="1"/>
      <w:marLeft w:val="0"/>
      <w:marRight w:val="0"/>
      <w:marTop w:val="0"/>
      <w:marBottom w:val="0"/>
      <w:divBdr>
        <w:top w:val="none" w:sz="0" w:space="0" w:color="auto"/>
        <w:left w:val="none" w:sz="0" w:space="0" w:color="auto"/>
        <w:bottom w:val="none" w:sz="0" w:space="0" w:color="auto"/>
        <w:right w:val="none" w:sz="0" w:space="0" w:color="auto"/>
      </w:divBdr>
    </w:div>
    <w:div w:id="242184479">
      <w:bodyDiv w:val="1"/>
      <w:marLeft w:val="0"/>
      <w:marRight w:val="0"/>
      <w:marTop w:val="0"/>
      <w:marBottom w:val="0"/>
      <w:divBdr>
        <w:top w:val="none" w:sz="0" w:space="0" w:color="auto"/>
        <w:left w:val="none" w:sz="0" w:space="0" w:color="auto"/>
        <w:bottom w:val="none" w:sz="0" w:space="0" w:color="auto"/>
        <w:right w:val="none" w:sz="0" w:space="0" w:color="auto"/>
      </w:divBdr>
    </w:div>
    <w:div w:id="321199009">
      <w:bodyDiv w:val="1"/>
      <w:marLeft w:val="0"/>
      <w:marRight w:val="0"/>
      <w:marTop w:val="0"/>
      <w:marBottom w:val="0"/>
      <w:divBdr>
        <w:top w:val="none" w:sz="0" w:space="0" w:color="auto"/>
        <w:left w:val="none" w:sz="0" w:space="0" w:color="auto"/>
        <w:bottom w:val="none" w:sz="0" w:space="0" w:color="auto"/>
        <w:right w:val="none" w:sz="0" w:space="0" w:color="auto"/>
      </w:divBdr>
    </w:div>
    <w:div w:id="541015404">
      <w:bodyDiv w:val="1"/>
      <w:marLeft w:val="0"/>
      <w:marRight w:val="0"/>
      <w:marTop w:val="0"/>
      <w:marBottom w:val="0"/>
      <w:divBdr>
        <w:top w:val="none" w:sz="0" w:space="0" w:color="auto"/>
        <w:left w:val="none" w:sz="0" w:space="0" w:color="auto"/>
        <w:bottom w:val="none" w:sz="0" w:space="0" w:color="auto"/>
        <w:right w:val="none" w:sz="0" w:space="0" w:color="auto"/>
      </w:divBdr>
    </w:div>
    <w:div w:id="552160686">
      <w:bodyDiv w:val="1"/>
      <w:marLeft w:val="0"/>
      <w:marRight w:val="0"/>
      <w:marTop w:val="0"/>
      <w:marBottom w:val="0"/>
      <w:divBdr>
        <w:top w:val="none" w:sz="0" w:space="0" w:color="auto"/>
        <w:left w:val="none" w:sz="0" w:space="0" w:color="auto"/>
        <w:bottom w:val="none" w:sz="0" w:space="0" w:color="auto"/>
        <w:right w:val="none" w:sz="0" w:space="0" w:color="auto"/>
      </w:divBdr>
    </w:div>
    <w:div w:id="594245016">
      <w:bodyDiv w:val="1"/>
      <w:marLeft w:val="0"/>
      <w:marRight w:val="0"/>
      <w:marTop w:val="0"/>
      <w:marBottom w:val="0"/>
      <w:divBdr>
        <w:top w:val="none" w:sz="0" w:space="0" w:color="auto"/>
        <w:left w:val="none" w:sz="0" w:space="0" w:color="auto"/>
        <w:bottom w:val="none" w:sz="0" w:space="0" w:color="auto"/>
        <w:right w:val="none" w:sz="0" w:space="0" w:color="auto"/>
      </w:divBdr>
    </w:div>
    <w:div w:id="775180052">
      <w:bodyDiv w:val="1"/>
      <w:marLeft w:val="0"/>
      <w:marRight w:val="0"/>
      <w:marTop w:val="0"/>
      <w:marBottom w:val="0"/>
      <w:divBdr>
        <w:top w:val="none" w:sz="0" w:space="0" w:color="auto"/>
        <w:left w:val="none" w:sz="0" w:space="0" w:color="auto"/>
        <w:bottom w:val="none" w:sz="0" w:space="0" w:color="auto"/>
        <w:right w:val="none" w:sz="0" w:space="0" w:color="auto"/>
      </w:divBdr>
    </w:div>
    <w:div w:id="875583118">
      <w:bodyDiv w:val="1"/>
      <w:marLeft w:val="0"/>
      <w:marRight w:val="0"/>
      <w:marTop w:val="0"/>
      <w:marBottom w:val="0"/>
      <w:divBdr>
        <w:top w:val="none" w:sz="0" w:space="0" w:color="auto"/>
        <w:left w:val="none" w:sz="0" w:space="0" w:color="auto"/>
        <w:bottom w:val="none" w:sz="0" w:space="0" w:color="auto"/>
        <w:right w:val="none" w:sz="0" w:space="0" w:color="auto"/>
      </w:divBdr>
    </w:div>
    <w:div w:id="890187644">
      <w:bodyDiv w:val="1"/>
      <w:marLeft w:val="0"/>
      <w:marRight w:val="0"/>
      <w:marTop w:val="0"/>
      <w:marBottom w:val="0"/>
      <w:divBdr>
        <w:top w:val="none" w:sz="0" w:space="0" w:color="auto"/>
        <w:left w:val="none" w:sz="0" w:space="0" w:color="auto"/>
        <w:bottom w:val="none" w:sz="0" w:space="0" w:color="auto"/>
        <w:right w:val="none" w:sz="0" w:space="0" w:color="auto"/>
      </w:divBdr>
    </w:div>
    <w:div w:id="954602525">
      <w:bodyDiv w:val="1"/>
      <w:marLeft w:val="0"/>
      <w:marRight w:val="0"/>
      <w:marTop w:val="0"/>
      <w:marBottom w:val="0"/>
      <w:divBdr>
        <w:top w:val="none" w:sz="0" w:space="0" w:color="auto"/>
        <w:left w:val="none" w:sz="0" w:space="0" w:color="auto"/>
        <w:bottom w:val="none" w:sz="0" w:space="0" w:color="auto"/>
        <w:right w:val="none" w:sz="0" w:space="0" w:color="auto"/>
      </w:divBdr>
    </w:div>
    <w:div w:id="1081485112">
      <w:bodyDiv w:val="1"/>
      <w:marLeft w:val="0"/>
      <w:marRight w:val="0"/>
      <w:marTop w:val="0"/>
      <w:marBottom w:val="0"/>
      <w:divBdr>
        <w:top w:val="none" w:sz="0" w:space="0" w:color="auto"/>
        <w:left w:val="none" w:sz="0" w:space="0" w:color="auto"/>
        <w:bottom w:val="none" w:sz="0" w:space="0" w:color="auto"/>
        <w:right w:val="none" w:sz="0" w:space="0" w:color="auto"/>
      </w:divBdr>
    </w:div>
    <w:div w:id="1084185548">
      <w:bodyDiv w:val="1"/>
      <w:marLeft w:val="0"/>
      <w:marRight w:val="0"/>
      <w:marTop w:val="0"/>
      <w:marBottom w:val="0"/>
      <w:divBdr>
        <w:top w:val="none" w:sz="0" w:space="0" w:color="auto"/>
        <w:left w:val="none" w:sz="0" w:space="0" w:color="auto"/>
        <w:bottom w:val="none" w:sz="0" w:space="0" w:color="auto"/>
        <w:right w:val="none" w:sz="0" w:space="0" w:color="auto"/>
      </w:divBdr>
    </w:div>
    <w:div w:id="1102841186">
      <w:bodyDiv w:val="1"/>
      <w:marLeft w:val="0"/>
      <w:marRight w:val="0"/>
      <w:marTop w:val="0"/>
      <w:marBottom w:val="0"/>
      <w:divBdr>
        <w:top w:val="none" w:sz="0" w:space="0" w:color="auto"/>
        <w:left w:val="none" w:sz="0" w:space="0" w:color="auto"/>
        <w:bottom w:val="none" w:sz="0" w:space="0" w:color="auto"/>
        <w:right w:val="none" w:sz="0" w:space="0" w:color="auto"/>
      </w:divBdr>
    </w:div>
    <w:div w:id="1202938510">
      <w:bodyDiv w:val="1"/>
      <w:marLeft w:val="0"/>
      <w:marRight w:val="0"/>
      <w:marTop w:val="0"/>
      <w:marBottom w:val="0"/>
      <w:divBdr>
        <w:top w:val="none" w:sz="0" w:space="0" w:color="auto"/>
        <w:left w:val="none" w:sz="0" w:space="0" w:color="auto"/>
        <w:bottom w:val="none" w:sz="0" w:space="0" w:color="auto"/>
        <w:right w:val="none" w:sz="0" w:space="0" w:color="auto"/>
      </w:divBdr>
    </w:div>
    <w:div w:id="1215853131">
      <w:bodyDiv w:val="1"/>
      <w:marLeft w:val="0"/>
      <w:marRight w:val="0"/>
      <w:marTop w:val="0"/>
      <w:marBottom w:val="0"/>
      <w:divBdr>
        <w:top w:val="none" w:sz="0" w:space="0" w:color="auto"/>
        <w:left w:val="none" w:sz="0" w:space="0" w:color="auto"/>
        <w:bottom w:val="none" w:sz="0" w:space="0" w:color="auto"/>
        <w:right w:val="none" w:sz="0" w:space="0" w:color="auto"/>
      </w:divBdr>
    </w:div>
    <w:div w:id="1238856698">
      <w:bodyDiv w:val="1"/>
      <w:marLeft w:val="0"/>
      <w:marRight w:val="0"/>
      <w:marTop w:val="0"/>
      <w:marBottom w:val="0"/>
      <w:divBdr>
        <w:top w:val="none" w:sz="0" w:space="0" w:color="auto"/>
        <w:left w:val="none" w:sz="0" w:space="0" w:color="auto"/>
        <w:bottom w:val="none" w:sz="0" w:space="0" w:color="auto"/>
        <w:right w:val="none" w:sz="0" w:space="0" w:color="auto"/>
      </w:divBdr>
    </w:div>
    <w:div w:id="1239247202">
      <w:bodyDiv w:val="1"/>
      <w:marLeft w:val="0"/>
      <w:marRight w:val="0"/>
      <w:marTop w:val="0"/>
      <w:marBottom w:val="0"/>
      <w:divBdr>
        <w:top w:val="none" w:sz="0" w:space="0" w:color="auto"/>
        <w:left w:val="none" w:sz="0" w:space="0" w:color="auto"/>
        <w:bottom w:val="none" w:sz="0" w:space="0" w:color="auto"/>
        <w:right w:val="none" w:sz="0" w:space="0" w:color="auto"/>
      </w:divBdr>
    </w:div>
    <w:div w:id="1303727477">
      <w:bodyDiv w:val="1"/>
      <w:marLeft w:val="0"/>
      <w:marRight w:val="0"/>
      <w:marTop w:val="0"/>
      <w:marBottom w:val="0"/>
      <w:divBdr>
        <w:top w:val="none" w:sz="0" w:space="0" w:color="auto"/>
        <w:left w:val="none" w:sz="0" w:space="0" w:color="auto"/>
        <w:bottom w:val="none" w:sz="0" w:space="0" w:color="auto"/>
        <w:right w:val="none" w:sz="0" w:space="0" w:color="auto"/>
      </w:divBdr>
    </w:div>
    <w:div w:id="1343623766">
      <w:bodyDiv w:val="1"/>
      <w:marLeft w:val="0"/>
      <w:marRight w:val="0"/>
      <w:marTop w:val="0"/>
      <w:marBottom w:val="0"/>
      <w:divBdr>
        <w:top w:val="none" w:sz="0" w:space="0" w:color="auto"/>
        <w:left w:val="none" w:sz="0" w:space="0" w:color="auto"/>
        <w:bottom w:val="none" w:sz="0" w:space="0" w:color="auto"/>
        <w:right w:val="none" w:sz="0" w:space="0" w:color="auto"/>
      </w:divBdr>
    </w:div>
    <w:div w:id="1455557282">
      <w:bodyDiv w:val="1"/>
      <w:marLeft w:val="0"/>
      <w:marRight w:val="0"/>
      <w:marTop w:val="0"/>
      <w:marBottom w:val="0"/>
      <w:divBdr>
        <w:top w:val="none" w:sz="0" w:space="0" w:color="auto"/>
        <w:left w:val="none" w:sz="0" w:space="0" w:color="auto"/>
        <w:bottom w:val="none" w:sz="0" w:space="0" w:color="auto"/>
        <w:right w:val="none" w:sz="0" w:space="0" w:color="auto"/>
      </w:divBdr>
    </w:div>
    <w:div w:id="1490291319">
      <w:bodyDiv w:val="1"/>
      <w:marLeft w:val="0"/>
      <w:marRight w:val="0"/>
      <w:marTop w:val="0"/>
      <w:marBottom w:val="0"/>
      <w:divBdr>
        <w:top w:val="none" w:sz="0" w:space="0" w:color="auto"/>
        <w:left w:val="none" w:sz="0" w:space="0" w:color="auto"/>
        <w:bottom w:val="none" w:sz="0" w:space="0" w:color="auto"/>
        <w:right w:val="none" w:sz="0" w:space="0" w:color="auto"/>
      </w:divBdr>
    </w:div>
    <w:div w:id="1508709267">
      <w:bodyDiv w:val="1"/>
      <w:marLeft w:val="0"/>
      <w:marRight w:val="0"/>
      <w:marTop w:val="0"/>
      <w:marBottom w:val="0"/>
      <w:divBdr>
        <w:top w:val="none" w:sz="0" w:space="0" w:color="auto"/>
        <w:left w:val="none" w:sz="0" w:space="0" w:color="auto"/>
        <w:bottom w:val="none" w:sz="0" w:space="0" w:color="auto"/>
        <w:right w:val="none" w:sz="0" w:space="0" w:color="auto"/>
      </w:divBdr>
    </w:div>
    <w:div w:id="1649897427">
      <w:bodyDiv w:val="1"/>
      <w:marLeft w:val="0"/>
      <w:marRight w:val="0"/>
      <w:marTop w:val="0"/>
      <w:marBottom w:val="0"/>
      <w:divBdr>
        <w:top w:val="none" w:sz="0" w:space="0" w:color="auto"/>
        <w:left w:val="none" w:sz="0" w:space="0" w:color="auto"/>
        <w:bottom w:val="none" w:sz="0" w:space="0" w:color="auto"/>
        <w:right w:val="none" w:sz="0" w:space="0" w:color="auto"/>
      </w:divBdr>
    </w:div>
    <w:div w:id="1702169025">
      <w:bodyDiv w:val="1"/>
      <w:marLeft w:val="0"/>
      <w:marRight w:val="0"/>
      <w:marTop w:val="0"/>
      <w:marBottom w:val="0"/>
      <w:divBdr>
        <w:top w:val="none" w:sz="0" w:space="0" w:color="auto"/>
        <w:left w:val="none" w:sz="0" w:space="0" w:color="auto"/>
        <w:bottom w:val="none" w:sz="0" w:space="0" w:color="auto"/>
        <w:right w:val="none" w:sz="0" w:space="0" w:color="auto"/>
      </w:divBdr>
    </w:div>
    <w:div w:id="1953508792">
      <w:bodyDiv w:val="1"/>
      <w:marLeft w:val="0"/>
      <w:marRight w:val="0"/>
      <w:marTop w:val="0"/>
      <w:marBottom w:val="0"/>
      <w:divBdr>
        <w:top w:val="none" w:sz="0" w:space="0" w:color="auto"/>
        <w:left w:val="none" w:sz="0" w:space="0" w:color="auto"/>
        <w:bottom w:val="none" w:sz="0" w:space="0" w:color="auto"/>
        <w:right w:val="none" w:sz="0" w:space="0" w:color="auto"/>
      </w:divBdr>
    </w:div>
    <w:div w:id="2057585128">
      <w:bodyDiv w:val="1"/>
      <w:marLeft w:val="0"/>
      <w:marRight w:val="0"/>
      <w:marTop w:val="0"/>
      <w:marBottom w:val="0"/>
      <w:divBdr>
        <w:top w:val="none" w:sz="0" w:space="0" w:color="auto"/>
        <w:left w:val="none" w:sz="0" w:space="0" w:color="auto"/>
        <w:bottom w:val="none" w:sz="0" w:space="0" w:color="auto"/>
        <w:right w:val="none" w:sz="0" w:space="0" w:color="auto"/>
      </w:divBdr>
    </w:div>
    <w:div w:id="2089693948">
      <w:bodyDiv w:val="1"/>
      <w:marLeft w:val="0"/>
      <w:marRight w:val="0"/>
      <w:marTop w:val="0"/>
      <w:marBottom w:val="0"/>
      <w:divBdr>
        <w:top w:val="none" w:sz="0" w:space="0" w:color="auto"/>
        <w:left w:val="none" w:sz="0" w:space="0" w:color="auto"/>
        <w:bottom w:val="none" w:sz="0" w:space="0" w:color="auto"/>
        <w:right w:val="none" w:sz="0" w:space="0" w:color="auto"/>
      </w:divBdr>
    </w:div>
    <w:div w:id="211801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fontTable" Target="fontTable.xml"/><Relationship Id="rId8"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144</TotalTime>
  <Pages>28</Pages>
  <Words>7106</Words>
  <Characters>38376</Characters>
  <Application>Microsoft Office Word</Application>
  <DocSecurity>0</DocSecurity>
  <Lines>319</Lines>
  <Paragraphs>90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Renato Penna Magoulas Bacha</dc:creator>
  <cp:keywords/>
  <dc:description/>
  <cp:lastModifiedBy>Renato Penna Magoulas Bacha</cp:lastModifiedBy>
  <cp:revision>32</cp:revision>
  <dcterms:created xsi:type="dcterms:W3CDTF">2021-09-30T12:09:00Z</dcterms:created>
  <dcterms:modified xsi:type="dcterms:W3CDTF">2021-09-30T14:33:00Z</dcterms:modified>
</cp:coreProperties>
</file>